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86E940E" w14:textId="77777777" w:rsidR="00A5346D" w:rsidRPr="001C655F" w:rsidRDefault="001A3A17">
      <w:pPr>
        <w:pStyle w:val="pretitle"/>
        <w:rPr>
          <w:lang w:val="en-US"/>
        </w:rPr>
      </w:pPr>
      <w:r>
        <w:rPr>
          <w:lang w:val="en-US"/>
        </w:rPr>
        <w:t>35</w:t>
      </w:r>
      <w:r w:rsidR="00651B3F">
        <w:rPr>
          <w:rFonts w:hint="eastAsia"/>
          <w:vertAlign w:val="superscript"/>
          <w:lang w:val="en-US"/>
        </w:rPr>
        <w:t>t</w:t>
      </w:r>
      <w:r w:rsidR="00AF2AB2">
        <w:rPr>
          <w:rFonts w:hint="eastAsia"/>
          <w:vertAlign w:val="superscript"/>
          <w:lang w:val="en-US"/>
        </w:rPr>
        <w:t xml:space="preserve">h </w:t>
      </w:r>
      <w:r w:rsidR="00AF2AB2" w:rsidRPr="00AF2AB2">
        <w:rPr>
          <w:rFonts w:hint="eastAsia"/>
          <w:lang w:val="en-US"/>
        </w:rPr>
        <w:t>Inter</w:t>
      </w:r>
      <w:r w:rsidR="007013A4">
        <w:rPr>
          <w:rFonts w:hint="eastAsia"/>
          <w:lang w:val="en-US"/>
        </w:rPr>
        <w:t>national</w:t>
      </w:r>
      <w:r w:rsidR="000657CD" w:rsidRPr="00AF2AB2">
        <w:rPr>
          <w:rFonts w:hint="eastAsia"/>
          <w:lang w:val="en-US"/>
        </w:rPr>
        <w:t xml:space="preserve"> </w:t>
      </w:r>
      <w:r w:rsidR="003E47F2">
        <w:rPr>
          <w:lang w:val="en-US"/>
        </w:rPr>
        <w:t>E</w:t>
      </w:r>
      <w:r w:rsidR="006578CE">
        <w:rPr>
          <w:lang w:val="en-US"/>
        </w:rPr>
        <w:t xml:space="preserve">lectric Vehicle Symposium </w:t>
      </w:r>
      <w:r w:rsidR="00DF545E">
        <w:rPr>
          <w:rFonts w:hint="eastAsia"/>
          <w:lang w:val="en-US"/>
        </w:rPr>
        <w:t>and</w:t>
      </w:r>
      <w:r w:rsidR="007013A4">
        <w:rPr>
          <w:rFonts w:hint="eastAsia"/>
          <w:lang w:val="en-US"/>
        </w:rPr>
        <w:t xml:space="preserve"> Exhibition </w:t>
      </w:r>
      <w:r w:rsidR="006578CE">
        <w:rPr>
          <w:lang w:val="en-US"/>
        </w:rPr>
        <w:t>(EVS</w:t>
      </w:r>
      <w:r>
        <w:rPr>
          <w:lang w:val="en-US"/>
        </w:rPr>
        <w:t>35</w:t>
      </w:r>
      <w:r w:rsidR="006578CE">
        <w:rPr>
          <w:lang w:val="en-US"/>
        </w:rPr>
        <w:t>)</w:t>
      </w:r>
      <w:r w:rsidR="006A59B3" w:rsidRPr="001C655F">
        <w:rPr>
          <w:lang w:val="en-US"/>
        </w:rPr>
        <w:br/>
      </w:r>
      <w:r>
        <w:rPr>
          <w:lang w:val="en-US"/>
        </w:rPr>
        <w:t>Oslo, Norway</w:t>
      </w:r>
      <w:r w:rsidR="006A59B3" w:rsidRPr="001C655F">
        <w:rPr>
          <w:lang w:val="en-US"/>
        </w:rPr>
        <w:t>,</w:t>
      </w:r>
      <w:r w:rsidR="000657CD">
        <w:rPr>
          <w:rFonts w:hint="eastAsia"/>
          <w:lang w:val="en-US"/>
        </w:rPr>
        <w:t xml:space="preserve"> </w:t>
      </w:r>
      <w:r w:rsidR="006D66EA">
        <w:rPr>
          <w:lang w:val="en-US"/>
        </w:rPr>
        <w:t>Ju</w:t>
      </w:r>
      <w:r w:rsidR="006D66EA" w:rsidRPr="001F6FB9">
        <w:rPr>
          <w:color w:val="auto"/>
          <w:lang w:val="en-US"/>
        </w:rPr>
        <w:t>ne</w:t>
      </w:r>
      <w:r w:rsidR="000657CD">
        <w:rPr>
          <w:rFonts w:hint="eastAsia"/>
          <w:color w:val="auto"/>
          <w:lang w:val="en-US"/>
        </w:rPr>
        <w:t xml:space="preserve"> </w:t>
      </w:r>
      <w:r>
        <w:rPr>
          <w:color w:val="auto"/>
          <w:lang w:val="en-US"/>
        </w:rPr>
        <w:t>11-1</w:t>
      </w:r>
      <w:r w:rsidR="00651B3F" w:rsidRPr="001F6FB9">
        <w:rPr>
          <w:color w:val="auto"/>
          <w:lang w:val="en-US"/>
        </w:rPr>
        <w:t>5</w:t>
      </w:r>
      <w:r w:rsidR="006A59B3" w:rsidRPr="001F6FB9">
        <w:rPr>
          <w:color w:val="auto"/>
          <w:lang w:val="en-US"/>
        </w:rPr>
        <w:t xml:space="preserve">, </w:t>
      </w:r>
      <w:r w:rsidR="006A59B3" w:rsidRPr="001C655F">
        <w:rPr>
          <w:lang w:val="en-US"/>
        </w:rPr>
        <w:t>20</w:t>
      </w:r>
      <w:r w:rsidR="006D66EA">
        <w:rPr>
          <w:lang w:val="en-US"/>
        </w:rPr>
        <w:t>2</w:t>
      </w:r>
      <w:r>
        <w:rPr>
          <w:lang w:val="en-US"/>
        </w:rPr>
        <w:t>2</w:t>
      </w:r>
    </w:p>
    <w:p w14:paraId="3532B0DB" w14:textId="59777C9C" w:rsidR="00A5346D" w:rsidRDefault="002E6758" w:rsidP="002E6758">
      <w:pPr>
        <w:pStyle w:val="Heading"/>
      </w:pPr>
      <w:r w:rsidRPr="002E6758">
        <w:t>Development and Validation of a cloud-based Digital Twin Platform of a Li-ion Batteries by means of Cell-Level Modelling</w:t>
      </w:r>
    </w:p>
    <w:p w14:paraId="51AECD8C" w14:textId="77777777" w:rsidR="002E6758" w:rsidRDefault="002E6758">
      <w:pPr>
        <w:pStyle w:val="author"/>
        <w:rPr>
          <w:lang w:val="es-ES"/>
        </w:rPr>
      </w:pPr>
      <w:r w:rsidRPr="002E6758">
        <w:rPr>
          <w:lang w:val="es-ES"/>
        </w:rPr>
        <w:t>Olatz Lizaso-Eguileta</w:t>
      </w:r>
      <w:r w:rsidRPr="002E6758">
        <w:rPr>
          <w:vertAlign w:val="superscript"/>
          <w:lang w:val="es-ES"/>
        </w:rPr>
        <w:t xml:space="preserve"> </w:t>
      </w:r>
      <w:r w:rsidR="006A59B3" w:rsidRPr="002E6758">
        <w:rPr>
          <w:vertAlign w:val="superscript"/>
          <w:lang w:val="es-ES"/>
        </w:rPr>
        <w:t>1</w:t>
      </w:r>
      <w:r>
        <w:rPr>
          <w:vertAlign w:val="superscript"/>
          <w:lang w:val="es-ES"/>
        </w:rPr>
        <w:t>,2,3*</w:t>
      </w:r>
      <w:r w:rsidR="006A59B3" w:rsidRPr="002E6758">
        <w:rPr>
          <w:lang w:val="es-ES"/>
        </w:rPr>
        <w:t xml:space="preserve">, </w:t>
      </w:r>
      <w:r w:rsidRPr="002E6758">
        <w:rPr>
          <w:lang w:val="es-ES"/>
        </w:rPr>
        <w:t>Egoitz Martinez-Laserna</w:t>
      </w:r>
      <w:r w:rsidRPr="002E6758">
        <w:rPr>
          <w:vertAlign w:val="superscript"/>
          <w:lang w:val="es-ES"/>
        </w:rPr>
        <w:t xml:space="preserve"> 1</w:t>
      </w:r>
      <w:r w:rsidRPr="002E6758">
        <w:rPr>
          <w:lang w:val="es-ES"/>
        </w:rPr>
        <w:t>, Eduardo Miguel</w:t>
      </w:r>
      <w:r w:rsidRPr="002E6758">
        <w:rPr>
          <w:vertAlign w:val="superscript"/>
          <w:lang w:val="es-ES"/>
        </w:rPr>
        <w:t xml:space="preserve"> </w:t>
      </w:r>
      <w:r w:rsidRPr="002E6758">
        <w:rPr>
          <w:vertAlign w:val="superscript"/>
          <w:lang w:val="es-ES"/>
        </w:rPr>
        <w:t>1</w:t>
      </w:r>
      <w:r w:rsidRPr="002E6758">
        <w:rPr>
          <w:lang w:val="es-ES"/>
        </w:rPr>
        <w:t xml:space="preserve">, </w:t>
      </w:r>
    </w:p>
    <w:p w14:paraId="74B79E3E" w14:textId="710E6E6A" w:rsidR="00A5346D" w:rsidRPr="002E6758" w:rsidRDefault="002E6758">
      <w:pPr>
        <w:pStyle w:val="author"/>
        <w:rPr>
          <w:vertAlign w:val="superscript"/>
        </w:rPr>
      </w:pPr>
      <w:r w:rsidRPr="002E6758">
        <w:t>Unai Iraola</w:t>
      </w:r>
      <w:r w:rsidRPr="002E6758">
        <w:rPr>
          <w:vertAlign w:val="superscript"/>
        </w:rPr>
        <w:t xml:space="preserve"> 2</w:t>
      </w:r>
      <w:r w:rsidRPr="002E6758">
        <w:t>, Igor Cantero</w:t>
      </w:r>
      <w:r w:rsidRPr="002E6758">
        <w:rPr>
          <w:vertAlign w:val="superscript"/>
        </w:rPr>
        <w:t xml:space="preserve"> </w:t>
      </w:r>
      <w:r w:rsidRPr="002E6758">
        <w:rPr>
          <w:vertAlign w:val="superscript"/>
        </w:rPr>
        <w:t>3</w:t>
      </w:r>
    </w:p>
    <w:p w14:paraId="433EA4D0" w14:textId="389793B4" w:rsidR="00A5346D" w:rsidRPr="002E6758" w:rsidRDefault="006A59B3" w:rsidP="002E6758">
      <w:pPr>
        <w:pStyle w:val="affiliation"/>
      </w:pPr>
      <w:r>
        <w:rPr>
          <w:vertAlign w:val="superscript"/>
        </w:rPr>
        <w:t>1</w:t>
      </w:r>
      <w:r w:rsidR="002E6758" w:rsidRPr="002E6758">
        <w:t>Ikerlan Technology Research Centre (BRTA), Arrasate/Mondragon, Spai</w:t>
      </w:r>
      <w:r w:rsidR="002E6758">
        <w:t xml:space="preserve">n, </w:t>
      </w:r>
      <w:r w:rsidR="002E6758">
        <w:br/>
      </w:r>
      <w:hyperlink r:id="rId8" w:history="1">
        <w:r w:rsidR="002E6758" w:rsidRPr="00BF48E7">
          <w:rPr>
            <w:rStyle w:val="Hipervnculo"/>
            <w:spacing w:val="-10"/>
            <w:sz w:val="20"/>
          </w:rPr>
          <w:t>*olizaso@ikerlan.es</w:t>
        </w:r>
      </w:hyperlink>
    </w:p>
    <w:p w14:paraId="554595CE" w14:textId="534689C5" w:rsidR="00A5346D" w:rsidRDefault="002E6758" w:rsidP="00BC34E7">
      <w:pPr>
        <w:pStyle w:val="affiliation"/>
      </w:pPr>
      <w:r w:rsidRPr="002E6758">
        <w:rPr>
          <w:vertAlign w:val="superscript"/>
        </w:rPr>
        <w:t>2</w:t>
      </w:r>
      <w:r w:rsidRPr="002E6758">
        <w:t xml:space="preserve">Electronics and Computing Department Mondragon </w:t>
      </w:r>
      <w:proofErr w:type="spellStart"/>
      <w:r w:rsidRPr="002E6758">
        <w:t>Unibertsitatea</w:t>
      </w:r>
      <w:proofErr w:type="spellEnd"/>
      <w:r w:rsidRPr="002E6758">
        <w:t>, Faculty of Engineering, Arrasate/Mondragon, Spain</w:t>
      </w:r>
    </w:p>
    <w:p w14:paraId="6C3BB95F" w14:textId="547780CC" w:rsidR="002E6758" w:rsidRDefault="00BC34E7" w:rsidP="002E6758">
      <w:pPr>
        <w:pStyle w:val="affiliation"/>
      </w:pPr>
      <w:r w:rsidRPr="00BC34E7">
        <w:rPr>
          <w:vertAlign w:val="superscript"/>
        </w:rPr>
        <w:t>3</w:t>
      </w:r>
      <w:r w:rsidRPr="00BC34E7">
        <w:t xml:space="preserve">R&amp;D Department, Cegasa </w:t>
      </w:r>
      <w:proofErr w:type="spellStart"/>
      <w:r w:rsidRPr="00BC34E7">
        <w:t>Energía</w:t>
      </w:r>
      <w:proofErr w:type="spellEnd"/>
      <w:r w:rsidRPr="00BC34E7">
        <w:t xml:space="preserve">, </w:t>
      </w:r>
      <w:proofErr w:type="spellStart"/>
      <w:r w:rsidRPr="00BC34E7">
        <w:t>Miñano</w:t>
      </w:r>
      <w:proofErr w:type="spellEnd"/>
      <w:r w:rsidRPr="00BC34E7">
        <w:t xml:space="preserve"> (Vitoria), Spain</w:t>
      </w:r>
    </w:p>
    <w:p w14:paraId="6990DC4C" w14:textId="77777777" w:rsidR="00A5346D" w:rsidRDefault="006A59B3">
      <w:pPr>
        <w:pStyle w:val="abstractitle"/>
      </w:pPr>
      <w:r>
        <w:t>Summary</w:t>
      </w:r>
    </w:p>
    <w:p w14:paraId="2BAAEBD7" w14:textId="77777777" w:rsidR="00BC34E7" w:rsidRPr="00BC34E7" w:rsidRDefault="00BC34E7" w:rsidP="00BC34E7">
      <w:pPr>
        <w:pStyle w:val="abstract"/>
        <w:pBdr>
          <w:top w:val="none" w:sz="0" w:space="0" w:color="000000"/>
          <w:left w:val="none" w:sz="0" w:space="0" w:color="000000"/>
          <w:bottom w:val="single" w:sz="4" w:space="1" w:color="000001"/>
          <w:right w:val="none" w:sz="0" w:space="0" w:color="000000"/>
        </w:pBdr>
        <w:spacing w:after="240"/>
      </w:pPr>
      <w:r w:rsidRPr="00BC34E7">
        <w:t>In this paper, a battery cell's electrical and thermal models have been parameterised and then validated on a Digital Twin Simulation Platform. Furthermore, these models have been integrated to analyse thermo-electric aspects based on experimental data by comparative analysis. The final model analyses the state of the batteries in real-time.</w:t>
      </w:r>
    </w:p>
    <w:p w14:paraId="05F7A8E2" w14:textId="77777777" w:rsidR="00A5346D" w:rsidRDefault="006A59B3">
      <w:pPr>
        <w:pStyle w:val="abstract"/>
        <w:pBdr>
          <w:top w:val="none" w:sz="0" w:space="0" w:color="000000"/>
          <w:left w:val="none" w:sz="0" w:space="0" w:color="000000"/>
          <w:bottom w:val="single" w:sz="4" w:space="1" w:color="000001"/>
          <w:right w:val="none" w:sz="0" w:space="0" w:color="000000"/>
        </w:pBdr>
        <w:spacing w:after="240"/>
      </w:pPr>
      <w:r>
        <w:rPr>
          <w:i/>
          <w:iCs/>
        </w:rPr>
        <w:t xml:space="preserve">Keywords: enter, </w:t>
      </w:r>
      <w:r w:rsidR="004A2B22">
        <w:rPr>
          <w:i/>
          <w:iCs/>
        </w:rPr>
        <w:t xml:space="preserve">in italic type </w:t>
      </w:r>
      <w:r>
        <w:rPr>
          <w:i/>
          <w:iCs/>
        </w:rPr>
        <w:t>up to five keywords from the provided list. The keywords on the paper shall match those selected when submitting</w:t>
      </w:r>
    </w:p>
    <w:p w14:paraId="09169B14" w14:textId="0157B474" w:rsidR="00A5346D" w:rsidRDefault="00BC34E7">
      <w:pPr>
        <w:pStyle w:val="Ttulo1"/>
        <w:numPr>
          <w:ilvl w:val="0"/>
          <w:numId w:val="1"/>
        </w:numPr>
        <w:spacing w:before="480"/>
        <w:ind w:left="431" w:hanging="431"/>
        <w:rPr>
          <w:lang w:val="en-US"/>
        </w:rPr>
      </w:pPr>
      <w:r>
        <w:t>Introduction</w:t>
      </w:r>
    </w:p>
    <w:p w14:paraId="69265405" w14:textId="77777777" w:rsidR="00BC34E7" w:rsidRPr="00BC34E7" w:rsidRDefault="00BC34E7" w:rsidP="00BC34E7">
      <w:pPr>
        <w:pStyle w:val="Testua"/>
      </w:pPr>
      <w:r w:rsidRPr="00BC34E7">
        <w:t xml:space="preserve">Maximising Li-ion battery (LIB) lifetime is a technical challenge due to the strong coupling between battery longevity and battery operating conditions such as temperature, charging profile or State of Charge (SOC) operating range </w:t>
      </w:r>
      <w:r w:rsidRPr="00BC34E7">
        <w:fldChar w:fldCharType="begin" w:fldLock="1"/>
      </w:r>
      <w:r w:rsidRPr="00BC34E7">
        <w:instrText>ADDIN CSL_CITATION {"citationItems":[{"id":"ITEM-1","itemData":{"DOI":"10.1149/2.0281914jes","ISSN":"0013-4651","abstract":"The maximum energy that lithium-ion batteries can store decreases as they are used because of various irreversible degradation mechanisms. Many models of degradation have been proposed in the literature, sometimes with a small experimental data set for validation. However, a thorough comparison between different model predictions is lacking, making it difficult to select modelling approaches which can explain the degradation trends actually observed from data. Here various degradation models from literature are implemented within a single particle model framework and their behaviour compared. It is shown that many different models can be fitted to a small experimental data set. The interactions between different models are simulated, showing how some of the models accelerate degradation in other models, altering the overall degradation trend. The effects of operating conditions on the various degradation models is simulated. This identifies which models are enhanced by which operating conditions and might therefore explain specific degradation trends observed in data. Finally, it is shown how a combination of different models is needed to capture different degradation trends observed in a large experimental data set. Vice versa, only a large data set enables to properly select the models which best explain the observed degradation.","author":[{"dropping-particle":"","family":"Reniers","given":"Jorn M.","non-dropping-particle":"","parse-names":false,"suffix":""},{"dropping-particle":"","family":"Mulder","given":"Grietus","non-dropping-particle":"","parse-names":false,"suffix":""},{"dropping-particle":"","family":"Howey","given":"David A.","non-dropping-particle":"","parse-names":false,"suffix":""}],"container-title":"Journal of The Electrochemical Society","id":"ITEM-1","issue":"14","issued":{"date-parts":[["2019","9","19"]]},"note":"Modelo ezberdinak definitzen ditu\n*3 orrian, imagen interesgarria SEI eta lithiatin-ei buruz. (ulertzeko visualki oso ondo ikusten da!!\n*Mecanismos de envejecimiento burutz hitz egiten du. Formula matematiko asko ematen ditu ulertzen ez ditutenak!","page":"A3189-A3200","title":"Review and Performance Comparison of Mechanical-Chemical Degradation Models for Lithium-Ion Batteries","type":"article-journal","volume":"166"},"uris":["http://www.mendeley.com/documents/?uuid=04bb755e-9905-4d15-bcf0-0710d91984dc"]}],"mendeley":{"formattedCitation":"[1]","plainTextFormattedCitation":"[1]","previouslyFormattedCitation":"[1]"},"properties":{"noteIndex":0},"schema":"https://github.com/citation-style-language/schema/raw/master/csl-citation.json"}</w:instrText>
      </w:r>
      <w:r w:rsidRPr="00BC34E7">
        <w:fldChar w:fldCharType="separate"/>
      </w:r>
      <w:r w:rsidRPr="00BC34E7">
        <w:rPr>
          <w:noProof/>
        </w:rPr>
        <w:t>[1]</w:t>
      </w:r>
      <w:r w:rsidRPr="00BC34E7">
        <w:fldChar w:fldCharType="end"/>
      </w:r>
      <w:r w:rsidRPr="00BC34E7">
        <w:t xml:space="preserve">. Therefore, good battery monitoring and control under a wide variety of operating conditions is essential to maximise the usability and lifetime of the batteries. </w:t>
      </w:r>
    </w:p>
    <w:p w14:paraId="7E723D92" w14:textId="77777777" w:rsidR="00BC34E7" w:rsidRPr="00BC34E7" w:rsidRDefault="00BC34E7" w:rsidP="00BC34E7">
      <w:pPr>
        <w:pStyle w:val="Testua"/>
      </w:pPr>
      <w:r w:rsidRPr="00BC34E7">
        <w:t>The internal states of a LIB are not directly measurable in situ by conventional sensors, so advanced algorithms are developed to quantify and estimate these X states. SoC and State of Health (SoH) are some of the typical key X states (SoX) that are tracked in the Battery Management System (BMS). The monitoring of SoX allows a correct and safe operation of the battery. In addition, they provide essential information about the energy available. Meanwhile, it enables advanced control systems' designing operational strategies, advanced fault or safety condition diagnosis, thermal management or optimal control of battery performance.</w:t>
      </w:r>
    </w:p>
    <w:p w14:paraId="7FB1109B" w14:textId="77777777" w:rsidR="00BC34E7" w:rsidRPr="00BC34E7" w:rsidRDefault="00BC34E7" w:rsidP="00BC34E7">
      <w:pPr>
        <w:pStyle w:val="Testua"/>
      </w:pPr>
      <w:r w:rsidRPr="00BC34E7">
        <w:t xml:space="preserve">The information provided by these states allows the design of operational strategies, the diagnosis of error conditions, thermal management, or optimal control of loads to prolong battery lifetime. Accurate and robust estimation algorithms are often based on historical data, requiring greater computational power and memory that conventional industrial BMS solutions lack </w:t>
      </w:r>
      <w:r w:rsidRPr="00BC34E7">
        <w:fldChar w:fldCharType="begin" w:fldLock="1"/>
      </w:r>
      <w:r w:rsidRPr="00BC34E7">
        <w:instrText>ADDIN CSL_CITATION {"citationItems":[{"id":"ITEM-1","itemData":{"DOI":"10.1016/j.jpowsour.2018.08.064","ISSN":"03787753","abstract":"The prediction accuracy of Lithium-ion (Li-ion) battery ageing models based on laboratory data is uncertain in the context of online prediction. This is due to the difficulty to reproduce realistic operating profiles in laboratory. The development of self-adaptive ageing models, which are updated using the ageing data obtained in operation, allows enhancing the online prediction accuracy and reducing the required characterisation period in laboratory. At the same time, it offers the possibility to maximise systems’ profitability, providing useful information to update the energy management strategy and for predictive maintenance purposes. The present study aims at reviewing, classifying and comparing the different self-adaptive Li-ion battery ageing models proposed in the literature. Firstly, the different characteristics influencing the ability of a model to update itself are identified, and a classification is proposed for self-adaptive Li-ion battery ageing modelling methods. Secondly, specific criteria are defined to assess and compare the accuracy and computational cost of the different models, enabling a selection of the most suitable ones. Finally, relevant conclusions are drawn considering the key features required to achieve effective ageing predictions, and concise recommendations are suggested for future self-adaptive Li-ion battery ageing model development.","author":[{"dropping-particle":"","family":"Lucu","given":"M.","non-dropping-particle":"","parse-names":false,"suffix":""},{"dropping-particle":"","family":"Martinez-Laserna","given":"E.","non-dropping-particle":"","parse-names":false,"suffix":""},{"dropping-particle":"","family":"Gandiaga","given":"I.","non-dropping-particle":"","parse-names":false,"suffix":""},{"dropping-particle":"","family":"Camblong","given":"H.","non-dropping-particle":"","parse-names":false,"suffix":""}],"container-title":"Journal of Power Sources","id":"ITEM-1","issue":"March","issued":{"date-parts":[["2018"]]},"page":"85-101","publisher":"Elsevier","title":"A critical review on self-adaptive Li-ion battery ageing models","type":"article-journal","volume":"401"},"uris":["http://www.mendeley.com/documents/?uuid=d2aa09dd-a0e7-4460-b855-a76e3435ed03"]}],"mendeley":{"formattedCitation":"[2]","plainTextFormattedCitation":"[2]","previouslyFormattedCitation":"[2]"},"properties":{"noteIndex":0},"schema":"https://github.com/citation-style-language/schema/raw/master/csl-citation.json"}</w:instrText>
      </w:r>
      <w:r w:rsidRPr="00BC34E7">
        <w:fldChar w:fldCharType="separate"/>
      </w:r>
      <w:r w:rsidRPr="00BC34E7">
        <w:rPr>
          <w:noProof/>
        </w:rPr>
        <w:t>[2]</w:t>
      </w:r>
      <w:r w:rsidRPr="00BC34E7">
        <w:fldChar w:fldCharType="end"/>
      </w:r>
      <w:r w:rsidRPr="00BC34E7">
        <w:t xml:space="preserve">. To overcome these challenges, the required performance of the BMS can be extended by means of cloud computing and IoT-based technology. </w:t>
      </w:r>
    </w:p>
    <w:p w14:paraId="46D71334" w14:textId="2BBA447C" w:rsidR="00BC34E7" w:rsidRPr="00BC34E7" w:rsidRDefault="00BC34E7" w:rsidP="00BC34E7">
      <w:pPr>
        <w:pStyle w:val="Testua"/>
      </w:pPr>
      <w:r w:rsidRPr="00BC34E7">
        <w:t xml:space="preserve">With batteries becoming increasingly connected due to the use of Internet of Things (IoT) technologies, there is the possibility of collecting real operation data once the batteries are deployed. In this context, Digital Twins (DT) </w:t>
      </w:r>
      <w:r w:rsidRPr="00BC34E7">
        <w:fldChar w:fldCharType="begin" w:fldLock="1"/>
      </w:r>
      <w:r w:rsidR="00D365A6">
        <w:instrText>ADDIN CSL_CITATION {"citationItems":[{"id":"ITEM-1","itemData":{"DOI":"10.1016/j.egyai.2020.100016","ISSN":"26665468","abstract":"… Energy and AI. Perspective. Battery digital twins: Perspectives on the fusion of models, data and artificial intelligence for smart battery management systems … Nomenclature. AI Artificial Intelligence. ANN Artificial Neutral Network. BEV Battery Electric Vehicle. BMS …","author":[{"dropping-particle":"","family":"Wu","given":"Billy","non-dropping-particle":"","parse-names":false,"suffix":""},{"dropping-particle":"","family":"Widanage","given":"W. Dhammika","non-dropping-particle":"","parse-names":false,"suffix":""},{"dropping-particle":"","family":"Yang","given":"Shichun","non-dropping-particle":"","parse-names":false,"suffix":""},{"dropping-particle":"","family":"Liu","given":"Xinhua","non-dropping-particle":"","parse-names":false,"suffix":""}],"container-title":"Energy and AI","id":"ITEM-1","issued":{"date-parts":[["2020"]]},"page":"100016","publisher":"Elsevier Ltd","title":"Battery digital twins: Perspectives on the fusion of models, data and artificial intelligence for smart battery management systems","type":"article-journal","volume":"1"},"uris":["http://www.mendeley.com/documents/?uuid=e238d04b-d99c-443f-b1c9-24720feb14c3"]}],"mendeley":{"formattedCitation":"[3]","plainTextFormattedCitation":"[3]","previouslyFormattedCitation":"[3]"},"properties":{"noteIndex":0},"schema":"https://github.com/citation-style-language/schema/raw/master/csl-citation.json"}</w:instrText>
      </w:r>
      <w:r w:rsidRPr="00BC34E7">
        <w:fldChar w:fldCharType="separate"/>
      </w:r>
      <w:r w:rsidR="004E2711" w:rsidRPr="004E2711">
        <w:rPr>
          <w:noProof/>
        </w:rPr>
        <w:t>[3]</w:t>
      </w:r>
      <w:r w:rsidRPr="00BC34E7">
        <w:fldChar w:fldCharType="end"/>
      </w:r>
      <w:r w:rsidRPr="00BC34E7">
        <w:t xml:space="preserve"> are created as digital replicas of the battery with close interaction with its virtual counterpart and the aggregation of in-field data over their entire lifetime. </w:t>
      </w:r>
    </w:p>
    <w:p w14:paraId="44088656" w14:textId="77777777" w:rsidR="00BC34E7" w:rsidRPr="00BC34E7" w:rsidRDefault="00BC34E7" w:rsidP="00BC34E7">
      <w:pPr>
        <w:pStyle w:val="Testua"/>
      </w:pPr>
      <w:r w:rsidRPr="00BC34E7">
        <w:t>Creating a battery DT environment in which the models, data and Machine Learning (ML) tools are integrated, makes possible to have a cloud BMS (cBMS) with an enhanced intelligence. This enables the application of key communication and networking technologies such as virtualisation, real-time monitoring and paves the way towards improved asset management and subsequently a longer battery lifetime.</w:t>
      </w:r>
    </w:p>
    <w:p w14:paraId="7D7AB878" w14:textId="5B6030C6" w:rsidR="00BC34E7" w:rsidRPr="00BC34E7" w:rsidRDefault="00BC34E7" w:rsidP="00BC34E7">
      <w:pPr>
        <w:pStyle w:val="Testua"/>
      </w:pPr>
      <w:r w:rsidRPr="00BC34E7">
        <w:t>In this work… (</w:t>
      </w:r>
      <w:proofErr w:type="spellStart"/>
      <w:r w:rsidRPr="00BC34E7">
        <w:t>esplikatu</w:t>
      </w:r>
      <w:proofErr w:type="spellEnd"/>
      <w:r w:rsidRPr="00BC34E7">
        <w:t xml:space="preserve"> </w:t>
      </w:r>
      <w:proofErr w:type="spellStart"/>
      <w:r w:rsidRPr="00BC34E7">
        <w:t>parte</w:t>
      </w:r>
      <w:proofErr w:type="spellEnd"/>
      <w:r w:rsidRPr="00BC34E7">
        <w:t xml:space="preserve"> </w:t>
      </w:r>
      <w:proofErr w:type="spellStart"/>
      <w:r w:rsidRPr="00BC34E7">
        <w:t>diferentek</w:t>
      </w:r>
      <w:proofErr w:type="spellEnd"/>
      <w:r w:rsidRPr="00BC34E7">
        <w:t>)</w:t>
      </w:r>
    </w:p>
    <w:p w14:paraId="0E76DE5F" w14:textId="43C19FC7" w:rsidR="00EB4B02" w:rsidRDefault="00EB4B02" w:rsidP="00EB4B02">
      <w:pPr>
        <w:pStyle w:val="Ttulo1"/>
        <w:numPr>
          <w:ilvl w:val="0"/>
          <w:numId w:val="1"/>
        </w:numPr>
        <w:ind w:left="431" w:hanging="431"/>
        <w:rPr>
          <w:bCs/>
        </w:rPr>
      </w:pPr>
      <w:r w:rsidRPr="00EB4B02">
        <w:rPr>
          <w:bCs/>
        </w:rPr>
        <w:t>Digital Twin Simulation Platform</w:t>
      </w:r>
    </w:p>
    <w:p w14:paraId="5453424B" w14:textId="17ED0C2B" w:rsidR="00EB4B02" w:rsidRDefault="00EB4B02" w:rsidP="00EB4B02">
      <w:pPr>
        <w:pStyle w:val="Testua"/>
      </w:pPr>
      <w:r w:rsidRPr="00B75FE3">
        <w:t>Lithium Werks 26650 cells</w:t>
      </w:r>
      <w:r>
        <w:t xml:space="preserve"> (Figure 1)</w:t>
      </w:r>
      <w:r w:rsidRPr="00B75FE3">
        <w:t xml:space="preserve"> will be used </w:t>
      </w:r>
      <w:r>
        <w:t>in</w:t>
      </w:r>
      <w:r w:rsidRPr="00B75FE3">
        <w:t xml:space="preserve"> this paper</w:t>
      </w:r>
      <w:r>
        <w:t xml:space="preserve">, </w:t>
      </w:r>
      <w:r w:rsidRPr="00B75FE3">
        <w:t>and their main characteristics are summarised in Table 1.</w:t>
      </w:r>
    </w:p>
    <w:p w14:paraId="1BEC946B" w14:textId="77777777" w:rsidR="00EB4B02" w:rsidRPr="00EB4B02" w:rsidRDefault="00EB4B02" w:rsidP="00EB4B02">
      <w:pPr>
        <w:pStyle w:val="Tablesdescription"/>
      </w:pPr>
      <w:r w:rsidRPr="00EB4B02">
        <w:t>Table 1: Lithium Werks 26650 cell characteristics</w:t>
      </w:r>
    </w:p>
    <w:tbl>
      <w:tblPr>
        <w:tblW w:w="0" w:type="auto"/>
        <w:tblInd w:w="2977" w:type="dxa"/>
        <w:tblLayout w:type="fixed"/>
        <w:tblCellMar>
          <w:left w:w="0" w:type="dxa"/>
          <w:right w:w="0" w:type="dxa"/>
        </w:tblCellMar>
        <w:tblLook w:val="01E0" w:firstRow="1" w:lastRow="1" w:firstColumn="1" w:lastColumn="1" w:noHBand="0" w:noVBand="0"/>
      </w:tblPr>
      <w:tblGrid>
        <w:gridCol w:w="1843"/>
        <w:gridCol w:w="142"/>
        <w:gridCol w:w="1417"/>
      </w:tblGrid>
      <w:tr w:rsidR="00EB4B02" w:rsidRPr="00983A47" w14:paraId="38CEE78A" w14:textId="77777777" w:rsidTr="006C0843">
        <w:trPr>
          <w:trHeight w:val="237"/>
        </w:trPr>
        <w:tc>
          <w:tcPr>
            <w:tcW w:w="3402" w:type="dxa"/>
            <w:gridSpan w:val="3"/>
            <w:tcBorders>
              <w:top w:val="single" w:sz="4" w:space="0" w:color="000000"/>
              <w:bottom w:val="single" w:sz="4" w:space="0" w:color="000000"/>
            </w:tcBorders>
            <w:vAlign w:val="center"/>
          </w:tcPr>
          <w:p w14:paraId="794A7747" w14:textId="77777777" w:rsidR="00EB4B02" w:rsidRPr="00983A47" w:rsidRDefault="00EB4B02" w:rsidP="00EB4B02">
            <w:pPr>
              <w:pStyle w:val="Tables"/>
            </w:pPr>
            <w:r w:rsidRPr="009352AC">
              <w:t>Nominal Ratings</w:t>
            </w:r>
          </w:p>
        </w:tc>
      </w:tr>
      <w:tr w:rsidR="00EB4B02" w:rsidRPr="00983A47" w14:paraId="7B3D2E25" w14:textId="77777777" w:rsidTr="006C0843">
        <w:trPr>
          <w:trHeight w:val="235"/>
        </w:trPr>
        <w:tc>
          <w:tcPr>
            <w:tcW w:w="1843" w:type="dxa"/>
            <w:tcBorders>
              <w:top w:val="single" w:sz="4" w:space="0" w:color="000000"/>
            </w:tcBorders>
            <w:vAlign w:val="center"/>
          </w:tcPr>
          <w:p w14:paraId="74955FA3" w14:textId="77777777" w:rsidR="00EB4B02" w:rsidRPr="00983A47" w:rsidRDefault="00EB4B02" w:rsidP="00EB4B02">
            <w:pPr>
              <w:pStyle w:val="Tables"/>
            </w:pPr>
            <w:r>
              <w:t>Voltage</w:t>
            </w:r>
          </w:p>
        </w:tc>
        <w:tc>
          <w:tcPr>
            <w:tcW w:w="142" w:type="dxa"/>
            <w:tcBorders>
              <w:top w:val="single" w:sz="4" w:space="0" w:color="000000"/>
            </w:tcBorders>
          </w:tcPr>
          <w:p w14:paraId="2182ED7F" w14:textId="77777777" w:rsidR="00EB4B02" w:rsidRPr="00983A47" w:rsidRDefault="00EB4B02" w:rsidP="00EB4B02">
            <w:pPr>
              <w:pStyle w:val="Tables"/>
            </w:pPr>
          </w:p>
        </w:tc>
        <w:tc>
          <w:tcPr>
            <w:tcW w:w="1417" w:type="dxa"/>
            <w:tcBorders>
              <w:top w:val="single" w:sz="4" w:space="0" w:color="000000"/>
            </w:tcBorders>
            <w:vAlign w:val="center"/>
          </w:tcPr>
          <w:p w14:paraId="36DDEF96" w14:textId="77777777" w:rsidR="00EB4B02" w:rsidRPr="00983A47" w:rsidRDefault="00EB4B02" w:rsidP="00EB4B02">
            <w:pPr>
              <w:pStyle w:val="Tables"/>
            </w:pPr>
            <w:r>
              <w:t>3.3</w:t>
            </w:r>
            <w:r w:rsidRPr="00AB6328">
              <w:rPr>
                <w:color w:val="FFFFFF" w:themeColor="background1"/>
              </w:rPr>
              <w:t>_</w:t>
            </w:r>
            <w:r>
              <w:t>V</w:t>
            </w:r>
          </w:p>
        </w:tc>
      </w:tr>
      <w:tr w:rsidR="00EB4B02" w:rsidRPr="00983A47" w14:paraId="2EAA7682" w14:textId="77777777" w:rsidTr="006C0843">
        <w:trPr>
          <w:trHeight w:val="241"/>
        </w:trPr>
        <w:tc>
          <w:tcPr>
            <w:tcW w:w="1843" w:type="dxa"/>
            <w:vAlign w:val="center"/>
          </w:tcPr>
          <w:p w14:paraId="75204DC7" w14:textId="77777777" w:rsidR="00EB4B02" w:rsidRPr="00983A47" w:rsidRDefault="00EB4B02" w:rsidP="00EB4B02">
            <w:pPr>
              <w:pStyle w:val="Tables"/>
            </w:pPr>
            <w:r>
              <w:t>Capacity</w:t>
            </w:r>
          </w:p>
        </w:tc>
        <w:tc>
          <w:tcPr>
            <w:tcW w:w="142" w:type="dxa"/>
          </w:tcPr>
          <w:p w14:paraId="7354D3BC" w14:textId="77777777" w:rsidR="00EB4B02" w:rsidRPr="00983A47" w:rsidRDefault="00EB4B02" w:rsidP="00EB4B02">
            <w:pPr>
              <w:pStyle w:val="Tables"/>
            </w:pPr>
          </w:p>
        </w:tc>
        <w:tc>
          <w:tcPr>
            <w:tcW w:w="1417" w:type="dxa"/>
            <w:vAlign w:val="center"/>
          </w:tcPr>
          <w:p w14:paraId="184BCAA9" w14:textId="77777777" w:rsidR="00EB4B02" w:rsidRPr="00983A47" w:rsidRDefault="00EB4B02" w:rsidP="00EB4B02">
            <w:pPr>
              <w:pStyle w:val="Tables"/>
            </w:pPr>
            <w:r>
              <w:t>2.5</w:t>
            </w:r>
            <w:r w:rsidRPr="00AB6328">
              <w:rPr>
                <w:color w:val="FFFFFF" w:themeColor="background1"/>
              </w:rPr>
              <w:t>_</w:t>
            </w:r>
            <w:r>
              <w:t>Ah</w:t>
            </w:r>
          </w:p>
        </w:tc>
      </w:tr>
      <w:tr w:rsidR="00EB4B02" w:rsidRPr="00983A47" w14:paraId="735EC2E9" w14:textId="77777777" w:rsidTr="006C0843">
        <w:trPr>
          <w:trHeight w:val="241"/>
        </w:trPr>
        <w:tc>
          <w:tcPr>
            <w:tcW w:w="1843" w:type="dxa"/>
            <w:vAlign w:val="center"/>
          </w:tcPr>
          <w:p w14:paraId="5C912D25" w14:textId="77777777" w:rsidR="00EB4B02" w:rsidRDefault="00EB4B02" w:rsidP="00EB4B02">
            <w:pPr>
              <w:pStyle w:val="Tables"/>
            </w:pPr>
            <w:r>
              <w:t>Internal resistance</w:t>
            </w:r>
          </w:p>
        </w:tc>
        <w:tc>
          <w:tcPr>
            <w:tcW w:w="142" w:type="dxa"/>
          </w:tcPr>
          <w:p w14:paraId="487DCF10" w14:textId="77777777" w:rsidR="00EB4B02" w:rsidRPr="00983A47" w:rsidRDefault="00EB4B02" w:rsidP="00EB4B02">
            <w:pPr>
              <w:pStyle w:val="Tables"/>
            </w:pPr>
          </w:p>
        </w:tc>
        <w:tc>
          <w:tcPr>
            <w:tcW w:w="1417" w:type="dxa"/>
            <w:vAlign w:val="center"/>
          </w:tcPr>
          <w:p w14:paraId="1D7D84DD" w14:textId="77777777" w:rsidR="00EB4B02" w:rsidRPr="00983A47" w:rsidRDefault="00EB4B02" w:rsidP="00EB4B02">
            <w:pPr>
              <w:pStyle w:val="Tables"/>
            </w:pPr>
            <w:r>
              <w:t>6</w:t>
            </w:r>
            <w:r w:rsidRPr="00E50A4E">
              <w:rPr>
                <w:color w:val="FFFFFF" w:themeColor="background1"/>
              </w:rPr>
              <w:t>_</w:t>
            </w:r>
            <w:r>
              <w:t>mΩ</w:t>
            </w:r>
          </w:p>
        </w:tc>
      </w:tr>
      <w:tr w:rsidR="00EB4B02" w:rsidRPr="00983A47" w14:paraId="58453FE0" w14:textId="77777777" w:rsidTr="006C0843">
        <w:trPr>
          <w:trHeight w:val="241"/>
        </w:trPr>
        <w:tc>
          <w:tcPr>
            <w:tcW w:w="1843" w:type="dxa"/>
            <w:tcBorders>
              <w:bottom w:val="single" w:sz="4" w:space="0" w:color="000000"/>
            </w:tcBorders>
            <w:vAlign w:val="center"/>
          </w:tcPr>
          <w:p w14:paraId="1568606E" w14:textId="77777777" w:rsidR="00EB4B02" w:rsidRDefault="00EB4B02" w:rsidP="00EB4B02">
            <w:pPr>
              <w:pStyle w:val="Tables"/>
            </w:pPr>
            <w:r>
              <w:t>Temperature range</w:t>
            </w:r>
          </w:p>
        </w:tc>
        <w:tc>
          <w:tcPr>
            <w:tcW w:w="142" w:type="dxa"/>
            <w:tcBorders>
              <w:bottom w:val="single" w:sz="4" w:space="0" w:color="000000"/>
            </w:tcBorders>
          </w:tcPr>
          <w:p w14:paraId="60481222" w14:textId="77777777" w:rsidR="00EB4B02" w:rsidRPr="00983A47" w:rsidRDefault="00EB4B02" w:rsidP="00EB4B02">
            <w:pPr>
              <w:pStyle w:val="Tables"/>
            </w:pPr>
          </w:p>
        </w:tc>
        <w:tc>
          <w:tcPr>
            <w:tcW w:w="1417" w:type="dxa"/>
            <w:tcBorders>
              <w:bottom w:val="single" w:sz="4" w:space="0" w:color="000000"/>
            </w:tcBorders>
            <w:vAlign w:val="center"/>
          </w:tcPr>
          <w:p w14:paraId="47EC88B4" w14:textId="77777777" w:rsidR="00EB4B02" w:rsidRDefault="00EB4B02" w:rsidP="00EB4B02">
            <w:pPr>
              <w:pStyle w:val="Tables"/>
            </w:pPr>
            <w:r>
              <w:t>-30 – 55 ºC</w:t>
            </w:r>
          </w:p>
        </w:tc>
      </w:tr>
    </w:tbl>
    <w:p w14:paraId="7BF8976C" w14:textId="77777777" w:rsidR="00EB4B02" w:rsidRDefault="00EB4B02" w:rsidP="00EB4B02">
      <w:pPr>
        <w:pStyle w:val="Testua"/>
      </w:pPr>
    </w:p>
    <w:p w14:paraId="761B641D" w14:textId="3805A71A" w:rsidR="00EB4B02" w:rsidRDefault="00EB4B02" w:rsidP="00EB4B02">
      <w:pPr>
        <w:pStyle w:val="Figures"/>
      </w:pPr>
      <w:r w:rsidRPr="00EB4B02">
        <w:drawing>
          <wp:inline distT="0" distB="0" distL="0" distR="0" wp14:anchorId="325978F9" wp14:editId="2D82B02A">
            <wp:extent cx="2047875" cy="1077748"/>
            <wp:effectExtent l="0" t="0" r="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77391" cy="1093281"/>
                    </a:xfrm>
                    <a:prstGeom prst="rect">
                      <a:avLst/>
                    </a:prstGeom>
                    <a:noFill/>
                    <a:ln>
                      <a:noFill/>
                    </a:ln>
                  </pic:spPr>
                </pic:pic>
              </a:graphicData>
            </a:graphic>
          </wp:inline>
        </w:drawing>
      </w:r>
    </w:p>
    <w:p w14:paraId="0D5592D4" w14:textId="1D056857" w:rsidR="00EB4B02" w:rsidRPr="00EB4B02" w:rsidRDefault="00EB4B02" w:rsidP="00EB4B02">
      <w:pPr>
        <w:pStyle w:val="Figuresdescription"/>
      </w:pPr>
      <w:r w:rsidRPr="00EB4B02">
        <w:t xml:space="preserve">Figure1: </w:t>
      </w:r>
      <w:r w:rsidRPr="00531BC9">
        <w:t>Lithium Werks 26650 cell</w:t>
      </w:r>
    </w:p>
    <w:p w14:paraId="25FDC423" w14:textId="77777777" w:rsidR="00EB4B02" w:rsidRDefault="00EB4B02" w:rsidP="00EB4B02">
      <w:pPr>
        <w:pStyle w:val="Testua"/>
      </w:pPr>
      <w:r w:rsidRPr="00304799">
        <w:t>Concerning issues of performance and lifetime prediction of LIBs, models of different nature are often used. These typically describe the voltage response to a current load, the thermal performance and the evolution of capacity/resistance over the lifetime of the cells. There are currently a diversity of approaches in each type of models, and in the way they are integrated.</w:t>
      </w:r>
    </w:p>
    <w:p w14:paraId="04A30FE9" w14:textId="6FBA45B2" w:rsidR="00A5346D" w:rsidRDefault="00EB4B02">
      <w:pPr>
        <w:pStyle w:val="Ttulo2"/>
        <w:numPr>
          <w:ilvl w:val="1"/>
          <w:numId w:val="1"/>
        </w:numPr>
      </w:pPr>
      <w:r>
        <w:t>Electric Model of the Cell</w:t>
      </w:r>
    </w:p>
    <w:p w14:paraId="223CE175" w14:textId="45B193E7" w:rsidR="00EB4B02" w:rsidRDefault="00EB4B02" w:rsidP="00EB4B02">
      <w:pPr>
        <w:pStyle w:val="Testua"/>
      </w:pPr>
      <w:r>
        <w:t>Batteries are often modelled to describe the voltage response of the cells according to the different physical phenomena occurring in them [3]. Equivalent circuit models (ECMs) are one of the most common methods for electrical modelling of batteries. ECMs use electrical elements such as resistors and capacitors, as well as an open circuit voltage (OCV) versus SoC profiles to reproduce the voltage response of a battery. ECMs require complicated parameter identification to represent the non-linear nature of the battery cells. They are lighter than electrochemical models and, depending on the specific battery chemistry and desired modelling accuracy, a different number of RC blocks can be used. In this work, an ECM with two RC phases has been chosen, which also considers the battery hysteresis. It has been chosen for its trade-off between accuracy and complexity versus computational cost. Fig. 1 describes the ECM to be implemented in the DTSP.</w:t>
      </w:r>
    </w:p>
    <w:p w14:paraId="14A1FE9A" w14:textId="332E21A0" w:rsidR="00EB4B02" w:rsidRDefault="00B21BBB" w:rsidP="00B21BBB">
      <w:pPr>
        <w:pStyle w:val="Figures"/>
      </w:pPr>
      <w:r w:rsidRPr="00B21BBB">
        <w:drawing>
          <wp:inline distT="0" distB="0" distL="0" distR="0" wp14:anchorId="153C1E56" wp14:editId="30475943">
            <wp:extent cx="4358826" cy="1542553"/>
            <wp:effectExtent l="0" t="0" r="3810" b="635"/>
            <wp:docPr id="1"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96DAC541-7B7A-43D3-8B79-37D633B846F1}">
                          <asvg:svgBlip xmlns:asvg="http://schemas.microsoft.com/office/drawing/2016/SVG/main" r:embed="rId11"/>
                        </a:ext>
                      </a:extLst>
                    </a:blip>
                    <a:stretch>
                      <a:fillRect/>
                    </a:stretch>
                  </pic:blipFill>
                  <pic:spPr>
                    <a:xfrm>
                      <a:off x="0" y="0"/>
                      <a:ext cx="4385698" cy="1552063"/>
                    </a:xfrm>
                    <a:prstGeom prst="rect">
                      <a:avLst/>
                    </a:prstGeom>
                  </pic:spPr>
                </pic:pic>
              </a:graphicData>
            </a:graphic>
          </wp:inline>
        </w:drawing>
      </w:r>
    </w:p>
    <w:p w14:paraId="25B11D28" w14:textId="77777777" w:rsidR="00EB4B02" w:rsidRPr="00801ACC" w:rsidRDefault="00EB4B02" w:rsidP="00EB4B02">
      <w:pPr>
        <w:pStyle w:val="Figuresdescription"/>
      </w:pPr>
      <w:r>
        <w:t xml:space="preserve">Figure 2: </w:t>
      </w:r>
      <w:r w:rsidRPr="007D2BC5">
        <w:t>Digital Twin Electric Equivalent Circuit Model</w:t>
      </w:r>
      <w:r>
        <w:t>.</w:t>
      </w:r>
    </w:p>
    <w:p w14:paraId="439B945B" w14:textId="3E33BC82" w:rsidR="00D365A6" w:rsidRDefault="00EB4B02" w:rsidP="00EB4B02">
      <w:pPr>
        <w:pStyle w:val="Testua"/>
      </w:pPr>
      <w:r w:rsidRPr="004B3631">
        <w:t>The different parameters of the model are influenced by the temperature</w:t>
      </w:r>
      <w:r w:rsidR="004104EF">
        <w:t xml:space="preserve"> and</w:t>
      </w:r>
      <w:r w:rsidRPr="004B3631">
        <w:t xml:space="preserve"> SoC of the LIB. These parameters are obtained by different laboratory tests such as the Hybrid Pulse Power Test (HPPT) or the OCV vs SoC test. They are then described in a look-up table and the model updates the value of the parameters at each time step.</w:t>
      </w:r>
      <w:r w:rsidR="00D365A6">
        <w:t xml:space="preserve"> </w:t>
      </w:r>
      <w:r w:rsidR="00D365A6" w:rsidRPr="00D365A6">
        <w:t>The states of diffusion voltage, the hysteresis voltage and the internal resistance of the cell are calculated following the same procedure as presented in</w:t>
      </w:r>
      <w:r w:rsidR="00D365A6">
        <w:t xml:space="preserve"> </w:t>
      </w:r>
      <w:r w:rsidR="00D365A6">
        <w:fldChar w:fldCharType="begin" w:fldLock="1"/>
      </w:r>
      <w:r w:rsidR="00AD7023">
        <w:instrText>ADDIN CSL_CITATION {"citationItems":[{"id":"ITEM-1","itemData":{"DOI":"10.1109/VPPC53923.2021.9699271","ISBN":"9781665405287","abstract":"The pursue of the new increasingly intelligent, and heavier state estimation algorithms requires a significant amount of data and computing power, which may challenge their deployment in current BMS solutions. To address that issue, this paper proposes a cloud-based Digital Twin Platform to extend computing power and data storage capacity. This tool aims to contain the integration of models to analyse thermo-electric and ageing aspects of a LIB, based on experimental operation data by comparative analysis. Based on well-known cell-level modelling techniques, a module-level modelling approach is proposed and an experimental validation platform is suggested.","author":[{"dropping-particle":"","family":"Lizaso-Eguileta","given":"Olatz","non-dropping-particle":"","parse-names":false,"suffix":""},{"dropping-particle":"","family":"Martinez-Laserna","given":"Egoitz","non-dropping-particle":"","parse-names":false,"suffix":""},{"dropping-particle":"","family":"Rivas","given":"Mikel","non-dropping-particle":"","parse-names":false,"suffix":""},{"dropping-particle":"","family":"Miguel","given":"Eduardo","non-dropping-particle":"","parse-names":false,"suffix":""},{"dropping-particle":"","family":"Iraola","given":"Unai","non-dropping-particle":"","parse-names":false,"suffix":""},{"dropping-particle":"","family":"Cantero","given":"Igor","non-dropping-particle":"","parse-names":false,"suffix":""}],"container-title":"2021 IEEE Vehicle Power and Propulsion Conference, VPPC 2021 - ProceedingS","id":"ITEM-1","issued":{"date-parts":[["2021"]]},"publisher":"Institute of Electrical and Electronics Engineers Inc.","title":"Module-Level Modelling Approach for a Cloudbased Digital Twin Platform for Li-Ion Batteries","type":"article-journal"},"uris":["http://www.mendeley.com/documents/?uuid=cc8a91e7-7483-3c14-94bf-17b4b490fa8d"]}],"mendeley":{"formattedCitation":"[4]","plainTextFormattedCitation":"[4]","previouslyFormattedCitation":"[4]"},"properties":{"noteIndex":0},"schema":"https://github.com/citation-style-language/schema/raw/master/csl-citation.json"}</w:instrText>
      </w:r>
      <w:r w:rsidR="00D365A6">
        <w:fldChar w:fldCharType="separate"/>
      </w:r>
      <w:r w:rsidR="00D365A6" w:rsidRPr="00D365A6">
        <w:rPr>
          <w:noProof/>
        </w:rPr>
        <w:t>[4]</w:t>
      </w:r>
      <w:r w:rsidR="00D365A6">
        <w:fldChar w:fldCharType="end"/>
      </w:r>
      <w:r w:rsidR="00D365A6" w:rsidRPr="00D365A6">
        <w:t>.</w:t>
      </w:r>
      <w:r w:rsidR="00D365A6">
        <w:t xml:space="preserve"> </w:t>
      </w:r>
    </w:p>
    <w:p w14:paraId="56E8987B" w14:textId="29C34785" w:rsidR="00EB4B02" w:rsidRDefault="004104EF" w:rsidP="00EB4B02">
      <w:pPr>
        <w:pStyle w:val="Testua"/>
      </w:pPr>
      <w:r w:rsidRPr="006F611D">
        <w:t xml:space="preserve">The instantaneous hysteresis component changes </w:t>
      </w:r>
      <w:r w:rsidRPr="006F611D">
        <w:rPr>
          <w:lang w:eastAsia="es-ES"/>
        </w:rPr>
        <w:t xml:space="preserve">immediately when the sign of input current changes. </w:t>
      </w:r>
      <w:r>
        <w:t>This</w:t>
      </w:r>
      <w:r w:rsidR="00EB4B02" w:rsidRPr="006F611D">
        <w:t xml:space="preserve"> hysteresis voltage is modelled by </w:t>
      </w:r>
      <m:oMath>
        <m:r>
          <w:rPr>
            <w:rFonts w:ascii="Cambria Math" w:hAnsi="Cambria Math"/>
          </w:rPr>
          <m:t>s</m:t>
        </m:r>
        <m:r>
          <w:rPr>
            <w:rFonts w:ascii="Cambria Math" w:hAnsi="Cambria Math"/>
          </w:rPr>
          <m:t>(</m:t>
        </m:r>
        <m:r>
          <w:rPr>
            <w:rFonts w:ascii="Cambria Math" w:hAnsi="Cambria Math"/>
          </w:rPr>
          <m:t>k</m:t>
        </m:r>
        <m:r>
          <w:rPr>
            <w:rFonts w:ascii="Cambria Math" w:hAnsi="Cambria Math"/>
          </w:rPr>
          <m:t>)</m:t>
        </m:r>
      </m:oMath>
      <w:r w:rsidR="00EB4B02" w:rsidRPr="006F611D">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610"/>
      </w:tblGrid>
      <w:tr w:rsidR="00FA4293" w14:paraId="7EE47491" w14:textId="77777777" w:rsidTr="006C0843">
        <w:tc>
          <w:tcPr>
            <w:tcW w:w="8784" w:type="dxa"/>
            <w:vAlign w:val="center"/>
          </w:tcPr>
          <w:p w14:paraId="17223562" w14:textId="05828BAB" w:rsidR="00FA4293" w:rsidRDefault="00FA4293" w:rsidP="006C0843">
            <w:pPr>
              <w:pStyle w:val="Testua"/>
              <w:jc w:val="center"/>
            </w:pPr>
            <m:oMathPara>
              <m:oMath>
                <m:r>
                  <w:rPr>
                    <w:rFonts w:ascii="Cambria Math" w:hAnsi="Cambria Math"/>
                  </w:rPr>
                  <m:t>s</m:t>
                </m:r>
                <m:r>
                  <m:rPr>
                    <m:sty m:val="p"/>
                  </m:rPr>
                  <w:rPr>
                    <w:rFonts w:ascii="Cambria Math" w:hAnsi="Cambria Math"/>
                  </w:rPr>
                  <m:t>(</m:t>
                </m:r>
                <m:r>
                  <w:rPr>
                    <w:rFonts w:ascii="Cambria Math" w:hAnsi="Cambria Math"/>
                  </w:rPr>
                  <m:t>k</m:t>
                </m:r>
                <m:r>
                  <m:rPr>
                    <m:sty m:val="p"/>
                  </m:rPr>
                  <w:rPr>
                    <w:rFonts w:ascii="Cambria Math" w:hAnsi="Cambria Math"/>
                  </w:rPr>
                  <m:t>)=</m:t>
                </m:r>
                <m:d>
                  <m:dPr>
                    <m:begChr m:val="{"/>
                    <m:endChr m:val=""/>
                    <m:ctrlPr>
                      <w:rPr>
                        <w:rFonts w:ascii="Cambria Math" w:hAnsi="Cambria Math"/>
                      </w:rPr>
                    </m:ctrlPr>
                  </m:dPr>
                  <m:e>
                    <m:eqArr>
                      <m:eqArrPr>
                        <m:ctrlPr>
                          <w:rPr>
                            <w:rFonts w:ascii="Cambria Math" w:hAnsi="Cambria Math"/>
                          </w:rPr>
                        </m:ctrlPr>
                      </m:eqArrPr>
                      <m:e>
                        <m:r>
                          <w:rPr>
                            <w:rFonts w:ascii="Cambria Math" w:hAnsi="Cambria Math"/>
                          </w:rPr>
                          <m:t>sgn</m:t>
                        </m:r>
                        <m:r>
                          <m:rPr>
                            <m:sty m:val="p"/>
                          </m:rPr>
                          <w:rPr>
                            <w:rFonts w:ascii="Cambria Math" w:hAnsi="Cambria Math"/>
                          </w:rPr>
                          <m:t>(</m:t>
                        </m:r>
                        <m:r>
                          <w:rPr>
                            <w:rFonts w:ascii="Cambria Math" w:hAnsi="Cambria Math"/>
                          </w:rPr>
                          <m:t>i</m:t>
                        </m:r>
                        <m:r>
                          <m:rPr>
                            <m:sty m:val="p"/>
                          </m:rPr>
                          <w:rPr>
                            <w:rFonts w:ascii="Cambria Math" w:hAnsi="Cambria Math"/>
                          </w:rPr>
                          <m:t>(</m:t>
                        </m:r>
                        <m:r>
                          <w:rPr>
                            <w:rFonts w:ascii="Cambria Math" w:hAnsi="Cambria Math"/>
                          </w:rPr>
                          <m:t>k</m:t>
                        </m:r>
                        <m:r>
                          <m:rPr>
                            <m:sty m:val="p"/>
                          </m:rPr>
                          <w:rPr>
                            <w:rFonts w:ascii="Cambria Math" w:hAnsi="Cambria Math"/>
                          </w:rPr>
                          <m:t>)),  &amp;</m:t>
                        </m:r>
                        <m:d>
                          <m:dPr>
                            <m:begChr m:val="|"/>
                            <m:endChr m:val="|"/>
                            <m:ctrlPr>
                              <w:rPr>
                                <w:rFonts w:ascii="Cambria Math" w:hAnsi="Cambria Math"/>
                              </w:rPr>
                            </m:ctrlPr>
                          </m:dPr>
                          <m:e>
                            <m:r>
                              <w:rPr>
                                <w:rFonts w:ascii="Cambria Math" w:hAnsi="Cambria Math"/>
                              </w:rPr>
                              <m:t>i</m:t>
                            </m:r>
                            <m:r>
                              <m:rPr>
                                <m:sty m:val="p"/>
                              </m:rPr>
                              <w:rPr>
                                <w:rFonts w:ascii="Cambria Math" w:hAnsi="Cambria Math"/>
                              </w:rPr>
                              <m:t>(</m:t>
                            </m:r>
                            <m:r>
                              <w:rPr>
                                <w:rFonts w:ascii="Cambria Math" w:hAnsi="Cambria Math"/>
                              </w:rPr>
                              <m:t>k</m:t>
                            </m:r>
                            <m:r>
                              <m:rPr>
                                <m:sty m:val="p"/>
                              </m:rPr>
                              <w:rPr>
                                <w:rFonts w:ascii="Cambria Math" w:hAnsi="Cambria Math"/>
                              </w:rPr>
                              <m:t>)</m:t>
                            </m:r>
                          </m:e>
                        </m:d>
                        <m:r>
                          <m:rPr>
                            <m:sty m:val="p"/>
                          </m:rPr>
                          <w:rPr>
                            <w:rFonts w:ascii="Cambria Math" w:hAnsi="Cambria Math"/>
                          </w:rPr>
                          <m:t>&gt;0</m:t>
                        </m:r>
                      </m:e>
                      <m:e>
                        <m:r>
                          <w:rPr>
                            <w:rFonts w:ascii="Cambria Math" w:hAnsi="Cambria Math"/>
                          </w:rPr>
                          <m:t>s</m:t>
                        </m:r>
                        <m:r>
                          <m:rPr>
                            <m:sty m:val="p"/>
                          </m:rPr>
                          <w:rPr>
                            <w:rFonts w:ascii="Cambria Math" w:hAnsi="Cambria Math"/>
                          </w:rPr>
                          <m:t>(</m:t>
                        </m:r>
                        <m:r>
                          <w:rPr>
                            <w:rFonts w:ascii="Cambria Math" w:hAnsi="Cambria Math"/>
                          </w:rPr>
                          <m:t>k</m:t>
                        </m:r>
                        <m:r>
                          <m:rPr>
                            <m:sty m:val="p"/>
                          </m:rPr>
                          <w:rPr>
                            <w:rFonts w:ascii="Cambria Math" w:hAnsi="Cambria Math"/>
                          </w:rPr>
                          <m:t>-1),  &amp;</m:t>
                        </m:r>
                        <m:r>
                          <w:rPr>
                            <w:rFonts w:ascii="Cambria Math" w:hAnsi="Cambria Math"/>
                          </w:rPr>
                          <m:t>otherwise</m:t>
                        </m:r>
                      </m:e>
                    </m:eqArr>
                  </m:e>
                </m:d>
              </m:oMath>
            </m:oMathPara>
          </w:p>
        </w:tc>
        <w:tc>
          <w:tcPr>
            <w:tcW w:w="610" w:type="dxa"/>
          </w:tcPr>
          <w:p w14:paraId="1666C01A" w14:textId="7CD2A3D5" w:rsidR="00FA4293" w:rsidRDefault="00FA4293" w:rsidP="006C0843">
            <w:pPr>
              <w:pStyle w:val="Testua"/>
              <w:jc w:val="right"/>
            </w:pPr>
            <w:r>
              <w:t>(</w:t>
            </w:r>
            <w:r w:rsidR="00D365A6">
              <w:t>1</w:t>
            </w:r>
            <w:r>
              <w:t>)</w:t>
            </w:r>
          </w:p>
        </w:tc>
      </w:tr>
    </w:tbl>
    <w:p w14:paraId="5EA8DA55" w14:textId="49F15E8B" w:rsidR="00EB4B02" w:rsidRDefault="00EB4B02" w:rsidP="00EB4B02">
      <w:pPr>
        <w:pStyle w:val="Testua"/>
      </w:pPr>
      <m:oMath>
        <m:r>
          <w:rPr>
            <w:rFonts w:ascii="Cambria Math" w:hAnsi="Cambria Math"/>
          </w:rPr>
          <m:t>M</m:t>
        </m:r>
      </m:oMath>
      <w:r w:rsidRPr="0040080C">
        <w:rPr>
          <w:rFonts w:eastAsiaTheme="minorEastAsia"/>
        </w:rPr>
        <w:t xml:space="preserve"> </w:t>
      </w:r>
      <w:r w:rsidRPr="0040080C">
        <w:t xml:space="preserve">is the value of the maximum positive and negative value of hysteresis at any SoC. On the other hand, </w:t>
      </w:r>
      <m:oMath>
        <m:sSub>
          <m:sSubPr>
            <m:ctrlPr>
              <w:rPr>
                <w:rFonts w:ascii="Cambria Math" w:hAnsi="Cambria Math"/>
                <w:i/>
              </w:rPr>
            </m:ctrlPr>
          </m:sSubPr>
          <m:e>
            <m:r>
              <w:rPr>
                <w:rFonts w:ascii="Cambria Math" w:hAnsi="Cambria Math"/>
              </w:rPr>
              <m:t>M</m:t>
            </m:r>
          </m:e>
          <m:sub>
            <m:r>
              <w:rPr>
                <w:rFonts w:ascii="Cambria Math" w:hAnsi="Cambria Math"/>
              </w:rPr>
              <m:t>0</m:t>
            </m:r>
          </m:sub>
        </m:sSub>
      </m:oMath>
      <w:r w:rsidRPr="0040080C">
        <w:rPr>
          <w:rFonts w:eastAsiaTheme="minorEastAsia"/>
        </w:rPr>
        <w:t xml:space="preserve"> </w:t>
      </w:r>
      <w:r w:rsidRPr="0040080C">
        <w:t>is the instantaneous hysteresis</w:t>
      </w:r>
      <w:r>
        <w:t xml:space="preserve">. </w:t>
      </w:r>
      <w:r w:rsidRPr="0040080C">
        <w:t xml:space="preserve">Therefore, </w:t>
      </w:r>
      <w:r w:rsidR="00CD2C8D" w:rsidRPr="0040080C">
        <w:t xml:space="preserve">full hysteresis voltage </w:t>
      </w:r>
      <w:r w:rsidRPr="0040080C">
        <w:t>will be defined as</w:t>
      </w:r>
      <w:r w:rsidR="00CD2C8D">
        <w:t xml:space="preserve"> </w:t>
      </w:r>
      <m:oMath>
        <m:d>
          <m:dPr>
            <m:ctrlPr>
              <w:rPr>
                <w:rFonts w:ascii="Cambria Math" w:hAnsi="Cambria Math"/>
                <w:i/>
              </w:rPr>
            </m:ctrlPr>
          </m:dPr>
          <m:e>
            <m:sSub>
              <m:sSubPr>
                <m:ctrlPr>
                  <w:rPr>
                    <w:rFonts w:ascii="Cambria Math" w:hAnsi="Cambria Math"/>
                    <w:i/>
                  </w:rPr>
                </m:ctrlPr>
              </m:sSubPr>
              <m:e>
                <m:r>
                  <w:rPr>
                    <w:rFonts w:ascii="Cambria Math" w:hAnsi="Cambria Math"/>
                  </w:rPr>
                  <m:t>M</m:t>
                </m:r>
              </m:e>
              <m:sub>
                <m:r>
                  <w:rPr>
                    <w:rFonts w:ascii="Cambria Math" w:hAnsi="Cambria Math"/>
                  </w:rPr>
                  <m:t>0</m:t>
                </m:r>
              </m:sub>
            </m:sSub>
            <m:r>
              <w:rPr>
                <w:rFonts w:ascii="Cambria Math" w:hAnsi="Cambria Math"/>
              </w:rPr>
              <m:t>s</m:t>
            </m:r>
            <m:r>
              <w:rPr>
                <w:rFonts w:ascii="Cambria Math" w:hAnsi="Cambria Math"/>
              </w:rPr>
              <m:t>(</m:t>
            </m:r>
            <m:r>
              <w:rPr>
                <w:rFonts w:ascii="Cambria Math" w:hAnsi="Cambria Math"/>
              </w:rPr>
              <m:t>k</m:t>
            </m:r>
            <m:r>
              <w:rPr>
                <w:rFonts w:ascii="Cambria Math" w:hAnsi="Cambria Math"/>
              </w:rPr>
              <m:t>)+</m:t>
            </m:r>
            <m:r>
              <w:rPr>
                <w:rFonts w:ascii="Cambria Math" w:hAnsi="Cambria Math"/>
              </w:rPr>
              <m:t>M</m:t>
            </m:r>
            <m:r>
              <w:rPr>
                <w:rFonts w:ascii="Cambria Math" w:hAnsi="Cambria Math"/>
              </w:rPr>
              <m:t>h(</m:t>
            </m:r>
            <m:r>
              <w:rPr>
                <w:rFonts w:ascii="Cambria Math" w:hAnsi="Cambria Math"/>
              </w:rPr>
              <m:t>k</m:t>
            </m:r>
            <m:r>
              <w:rPr>
                <w:rFonts w:ascii="Cambria Math" w:hAnsi="Cambria Math"/>
              </w:rPr>
              <m:t>)</m:t>
            </m:r>
          </m:e>
        </m:d>
      </m:oMath>
      <w:r w:rsidRPr="0040080C">
        <w:t>.</w:t>
      </w:r>
      <w:r w:rsidR="0043074C">
        <w:t xml:space="preserve"> </w:t>
      </w:r>
      <w:r w:rsidRPr="00FE2A82">
        <w:t xml:space="preserve">The output equation of the model </w:t>
      </w:r>
      <w:r w:rsidR="0043074C" w:rsidRPr="00FE2A82">
        <w:t>considers</w:t>
      </w:r>
      <w:r w:rsidRPr="00FE2A82">
        <w:t xml:space="preserve"> all the phenomena described above. The equation is defined in (4).</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610"/>
      </w:tblGrid>
      <w:tr w:rsidR="00FA4293" w14:paraId="03A280F9" w14:textId="77777777" w:rsidTr="006C0843">
        <w:tc>
          <w:tcPr>
            <w:tcW w:w="8784" w:type="dxa"/>
            <w:vAlign w:val="center"/>
          </w:tcPr>
          <w:p w14:paraId="695CD090" w14:textId="660F21CE" w:rsidR="00FA4293" w:rsidRDefault="00FA4293" w:rsidP="006C0843">
            <w:pPr>
              <w:pStyle w:val="Testua"/>
              <w:jc w:val="center"/>
            </w:pPr>
            <m:oMathPara>
              <m:oMath>
                <m:r>
                  <w:rPr>
                    <w:rFonts w:ascii="Cambria Math" w:hAnsi="Cambria Math"/>
                  </w:rPr>
                  <m:t>v</m:t>
                </m:r>
                <m:r>
                  <m:rPr>
                    <m:sty m:val="p"/>
                  </m:rPr>
                  <w:rPr>
                    <w:rFonts w:ascii="Cambria Math" w:hAnsi="Cambria Math"/>
                  </w:rPr>
                  <m:t>(</m:t>
                </m:r>
                <m:r>
                  <w:rPr>
                    <w:rFonts w:ascii="Cambria Math" w:hAnsi="Cambria Math"/>
                  </w:rPr>
                  <m:t>k</m:t>
                </m:r>
                <m:r>
                  <m:rPr>
                    <m:sty m:val="p"/>
                  </m:rPr>
                  <w:rPr>
                    <w:rFonts w:ascii="Cambria Math" w:hAnsi="Cambria Math"/>
                  </w:rPr>
                  <m:t>)=</m:t>
                </m:r>
                <m:r>
                  <w:rPr>
                    <w:rFonts w:ascii="Cambria Math" w:hAnsi="Cambria Math"/>
                  </w:rPr>
                  <m:t>OCV</m:t>
                </m:r>
                <m:r>
                  <m:rPr>
                    <m:sty m:val="p"/>
                  </m:rPr>
                  <w:rPr>
                    <w:rFonts w:ascii="Cambria Math" w:hAnsi="Cambria Math"/>
                  </w:rPr>
                  <m:t>(</m:t>
                </m:r>
                <m:r>
                  <w:rPr>
                    <w:rFonts w:ascii="Cambria Math" w:hAnsi="Cambria Math"/>
                  </w:rPr>
                  <m:t>k</m:t>
                </m:r>
                <m:r>
                  <m:rPr>
                    <m:sty m:val="p"/>
                  </m:rPr>
                  <w:rPr>
                    <w:rFonts w:ascii="Cambria Math" w:hAnsi="Cambria Math"/>
                  </w:rPr>
                  <m:t>)+</m:t>
                </m:r>
                <m:sSub>
                  <m:sSubPr>
                    <m:ctrlPr>
                      <w:rPr>
                        <w:rFonts w:ascii="Cambria Math" w:hAnsi="Cambria Math"/>
                      </w:rPr>
                    </m:ctrlPr>
                  </m:sSubPr>
                  <m:e>
                    <m:r>
                      <w:rPr>
                        <w:rFonts w:ascii="Cambria Math" w:hAnsi="Cambria Math"/>
                      </w:rPr>
                      <m:t>M</m:t>
                    </m:r>
                  </m:e>
                  <m:sub>
                    <m:r>
                      <m:rPr>
                        <m:sty m:val="p"/>
                      </m:rPr>
                      <w:rPr>
                        <w:rFonts w:ascii="Cambria Math" w:hAnsi="Cambria Math"/>
                      </w:rPr>
                      <m:t>0</m:t>
                    </m:r>
                  </m:sub>
                </m:sSub>
                <m:r>
                  <w:rPr>
                    <w:rFonts w:ascii="Cambria Math" w:hAnsi="Cambria Math"/>
                  </w:rPr>
                  <m:t>s</m:t>
                </m:r>
                <m:r>
                  <m:rPr>
                    <m:sty m:val="p"/>
                  </m:rPr>
                  <w:rPr>
                    <w:rFonts w:ascii="Cambria Math" w:hAnsi="Cambria Math"/>
                  </w:rPr>
                  <m:t>(</m:t>
                </m:r>
                <m:r>
                  <w:rPr>
                    <w:rFonts w:ascii="Cambria Math" w:hAnsi="Cambria Math"/>
                  </w:rPr>
                  <m:t>k</m:t>
                </m:r>
                <m:r>
                  <m:rPr>
                    <m:sty m:val="p"/>
                  </m:rPr>
                  <w:rPr>
                    <w:rFonts w:ascii="Cambria Math" w:hAnsi="Cambria Math"/>
                  </w:rPr>
                  <m:t>)+</m:t>
                </m:r>
                <m:r>
                  <w:rPr>
                    <w:rFonts w:ascii="Cambria Math" w:hAnsi="Cambria Math"/>
                  </w:rPr>
                  <m:t>Mh</m:t>
                </m:r>
                <m:r>
                  <m:rPr>
                    <m:sty m:val="p"/>
                  </m:rPr>
                  <w:rPr>
                    <w:rFonts w:ascii="Cambria Math" w:hAnsi="Cambria Math"/>
                  </w:rPr>
                  <m:t>(</m:t>
                </m:r>
                <m:r>
                  <w:rPr>
                    <w:rFonts w:ascii="Cambria Math" w:hAnsi="Cambria Math"/>
                  </w:rPr>
                  <m:t>k</m:t>
                </m:r>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1</m:t>
                    </m:r>
                  </m:sub>
                </m:sSub>
                <m:sSub>
                  <m:sSubPr>
                    <m:ctrlPr>
                      <w:rPr>
                        <w:rFonts w:ascii="Cambria Math" w:hAnsi="Cambria Math"/>
                      </w:rPr>
                    </m:ctrlPr>
                  </m:sSubPr>
                  <m:e>
                    <m:r>
                      <w:rPr>
                        <w:rFonts w:ascii="Cambria Math" w:hAnsi="Cambria Math"/>
                      </w:rPr>
                      <m:t>i</m:t>
                    </m:r>
                  </m:e>
                  <m:sub>
                    <m:sSub>
                      <m:sSubPr>
                        <m:ctrlPr>
                          <w:rPr>
                            <w:rFonts w:ascii="Cambria Math" w:hAnsi="Cambria Math"/>
                          </w:rPr>
                        </m:ctrlPr>
                      </m:sSubPr>
                      <m:e>
                        <m:r>
                          <w:rPr>
                            <w:rFonts w:ascii="Cambria Math" w:hAnsi="Cambria Math"/>
                          </w:rPr>
                          <m:t>R</m:t>
                        </m:r>
                      </m:e>
                      <m:sub>
                        <m:r>
                          <m:rPr>
                            <m:sty m:val="p"/>
                          </m:rPr>
                          <w:rPr>
                            <w:rFonts w:ascii="Cambria Math" w:hAnsi="Cambria Math"/>
                          </w:rPr>
                          <m:t>1</m:t>
                        </m:r>
                      </m:sub>
                    </m:sSub>
                  </m:sub>
                </m:sSub>
                <m:r>
                  <m:rPr>
                    <m:sty m:val="p"/>
                  </m:rPr>
                  <w:rPr>
                    <w:rFonts w:ascii="Cambria Math" w:hAnsi="Cambria Math"/>
                  </w:rPr>
                  <m:t>(</m:t>
                </m:r>
                <m:r>
                  <w:rPr>
                    <w:rFonts w:ascii="Cambria Math" w:hAnsi="Cambria Math"/>
                  </w:rPr>
                  <m:t>k</m:t>
                </m:r>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2</m:t>
                    </m:r>
                  </m:sub>
                </m:sSub>
                <m:sSub>
                  <m:sSubPr>
                    <m:ctrlPr>
                      <w:rPr>
                        <w:rFonts w:ascii="Cambria Math" w:hAnsi="Cambria Math"/>
                      </w:rPr>
                    </m:ctrlPr>
                  </m:sSubPr>
                  <m:e>
                    <m:r>
                      <w:rPr>
                        <w:rFonts w:ascii="Cambria Math" w:hAnsi="Cambria Math"/>
                      </w:rPr>
                      <m:t>i</m:t>
                    </m:r>
                  </m:e>
                  <m:sub>
                    <m:sSub>
                      <m:sSubPr>
                        <m:ctrlPr>
                          <w:rPr>
                            <w:rFonts w:ascii="Cambria Math" w:hAnsi="Cambria Math"/>
                          </w:rPr>
                        </m:ctrlPr>
                      </m:sSubPr>
                      <m:e>
                        <m:r>
                          <w:rPr>
                            <w:rFonts w:ascii="Cambria Math" w:hAnsi="Cambria Math"/>
                          </w:rPr>
                          <m:t>R</m:t>
                        </m:r>
                      </m:e>
                      <m:sub>
                        <m:r>
                          <m:rPr>
                            <m:sty m:val="p"/>
                          </m:rPr>
                          <w:rPr>
                            <w:rFonts w:ascii="Cambria Math" w:hAnsi="Cambria Math"/>
                          </w:rPr>
                          <m:t>2</m:t>
                        </m:r>
                      </m:sub>
                    </m:sSub>
                  </m:sub>
                </m:sSub>
                <m:r>
                  <m:rPr>
                    <m:sty m:val="p"/>
                  </m:rPr>
                  <w:rPr>
                    <w:rFonts w:ascii="Cambria Math" w:hAnsi="Cambria Math"/>
                  </w:rPr>
                  <m:t>(</m:t>
                </m:r>
                <m:r>
                  <w:rPr>
                    <w:rFonts w:ascii="Cambria Math" w:hAnsi="Cambria Math"/>
                  </w:rPr>
                  <m:t>k</m:t>
                </m:r>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0</m:t>
                    </m:r>
                  </m:sub>
                </m:sSub>
                <m:r>
                  <w:rPr>
                    <w:rFonts w:ascii="Cambria Math" w:hAnsi="Cambria Math"/>
                  </w:rPr>
                  <m:t>i</m:t>
                </m:r>
                <m:r>
                  <m:rPr>
                    <m:sty m:val="p"/>
                  </m:rPr>
                  <w:rPr>
                    <w:rFonts w:ascii="Cambria Math" w:hAnsi="Cambria Math"/>
                  </w:rPr>
                  <m:t>(</m:t>
                </m:r>
                <m:r>
                  <w:rPr>
                    <w:rFonts w:ascii="Cambria Math" w:hAnsi="Cambria Math"/>
                  </w:rPr>
                  <m:t>k</m:t>
                </m:r>
                <m:r>
                  <m:rPr>
                    <m:sty m:val="p"/>
                  </m:rPr>
                  <w:rPr>
                    <w:rFonts w:ascii="Cambria Math" w:hAnsi="Cambria Math"/>
                  </w:rPr>
                  <m:t>)</m:t>
                </m:r>
              </m:oMath>
            </m:oMathPara>
          </w:p>
        </w:tc>
        <w:tc>
          <w:tcPr>
            <w:tcW w:w="610" w:type="dxa"/>
          </w:tcPr>
          <w:p w14:paraId="28BA06C5" w14:textId="60DAF2D8" w:rsidR="00FA4293" w:rsidRDefault="00FA4293" w:rsidP="006C0843">
            <w:pPr>
              <w:pStyle w:val="Testua"/>
              <w:jc w:val="right"/>
            </w:pPr>
            <w:r>
              <w:t>(</w:t>
            </w:r>
            <w:r w:rsidR="00D365A6">
              <w:t>2</w:t>
            </w:r>
            <w:r>
              <w:t>)</w:t>
            </w:r>
          </w:p>
        </w:tc>
      </w:tr>
    </w:tbl>
    <w:p w14:paraId="1A02A793" w14:textId="7D6BDA4B" w:rsidR="00EB4B02" w:rsidRDefault="00EB4B02" w:rsidP="00EB4B02">
      <w:pPr>
        <w:pStyle w:val="Testua"/>
      </w:pPr>
      <w:r>
        <w:t xml:space="preserve">The cell states are estimated indirectly from measurement data from laboratory tests. The BMS must be able to choice </w:t>
      </w:r>
      <w:r w:rsidR="00CD2C8D">
        <w:t>the</w:t>
      </w:r>
      <w:r>
        <w:t xml:space="preserve"> model parameters at each time step such as cell capacities or resistances and the different cell states such as state of charge</w:t>
      </w:r>
      <w:r w:rsidR="00CD2C8D">
        <w:t xml:space="preserve"> or</w:t>
      </w:r>
      <w:r>
        <w:t xml:space="preserve"> diffusion voltage.</w:t>
      </w:r>
      <w:r w:rsidR="00CD2C8D">
        <w:t xml:space="preserve"> </w:t>
      </w:r>
      <w:r>
        <w:t xml:space="preserve">Estimation of SoC is difficult because it is time-dependent, highly non-linear depending on battery chemistry and variable with temperature. Traditional methods for estimating SoC include the voltage-based method (open-circuit voltage [OCV]) </w:t>
      </w:r>
      <w:r w:rsidR="00D722F4">
        <w:fldChar w:fldCharType="begin" w:fldLock="1"/>
      </w:r>
      <w:r w:rsidR="00D722F4">
        <w:instrText>ADDIN CSL_CITATION {"citationItems":[{"id":"ITEM-1","itemData":{"DOI":"10.1002/ente.202100235","ISSN":"21944296","abstract":"Herein, the improved open-circuit voltage (OCV) estimation method is developed and applied to estimate the model parameters and state of charge (SOC) for lithium-ion batteries simultaneously. First, the OCV and SOC mapping relationship with temperature dependence is explored with the help of the low-current OCV test and the improved OCV estimation method is proposed for all test temperatures. Afterward, the dual adaptive extended Kalman filter (DAEKF) based on the residual sequence is utilized to identify the model parameters and estimate the SOC simultaneously. Finally, the proposed approach is verified with 50% initial SOC error and compared with the residual sequence-based DEKF method at different temperatures under the Federal Urban Driving Schedule (FUDS) test. The results of this study indicate that the proposed DAEKF based on the proposed improving OCV estimation method and residual sequence could achieve higher SOC estimation accuracy with good robustness at all test temperatures.","author":[{"dropping-particle":"","family":"Gong","given":"Dongliang","non-dropping-particle":"","parse-names":false,"suffix":""},{"dropping-particle":"","family":"Gao","given":"Ying","non-dropping-particle":"","parse-names":false,"suffix":""},{"dropping-particle":"","family":"Kou","given":"Yalin","non-dropping-particle":"","parse-names":false,"suffix":""}],"container-title":"Energy Technology","id":"ITEM-1","issue":"9","issued":{"date-parts":[["2021"]]},"page":"1-18","title":"Parameter and State of Charge Estimation Simultaneously for Lithium-Ion Battery Based on Improved Open Circuit Voltage Estimation Method","type":"article-journal","volume":"9"},"uris":["http://www.mendeley.com/documents/?uuid=9f8363da-3e32-4b6f-a479-d60b40c4ab98"]}],"mendeley":{"formattedCitation":"[5]","plainTextFormattedCitation":"[5]","previouslyFormattedCitation":"[5]"},"properties":{"noteIndex":0},"schema":"https://github.com/citation-style-language/schema/raw/master/csl-citation.json"}</w:instrText>
      </w:r>
      <w:r w:rsidR="00D722F4">
        <w:fldChar w:fldCharType="separate"/>
      </w:r>
      <w:r w:rsidR="00D722F4" w:rsidRPr="00D722F4">
        <w:rPr>
          <w:noProof/>
        </w:rPr>
        <w:t>[5]</w:t>
      </w:r>
      <w:r w:rsidR="00D722F4">
        <w:fldChar w:fldCharType="end"/>
      </w:r>
      <w:r>
        <w:t xml:space="preserve"> and the current-based method (coulomb counting) </w:t>
      </w:r>
      <w:r w:rsidR="00D722F4">
        <w:fldChar w:fldCharType="begin" w:fldLock="1"/>
      </w:r>
      <w:r w:rsidR="00D722F4">
        <w:instrText>ADDIN CSL_CITATION {"citationItems":[{"id":"ITEM-1","itemData":{"DOI":"10.1016/j.jpowsour.2009.10.105","ISSN":"03787753","abstract":"A lumped-parameter thermal model of a cylindrical LiFePO4/graphite lithium-ion battery is developed. Heat transfer coefficients and heat capacity are determined from simultaneous measurements of the surface temperature and the internal temperature of the battery while applying 2 Hz current pulses of different magnitudes. For internal temperature measurements, a thermocouple is introduced into the battery under inert atmosphere. Heat transfer coefficients (thermal resistances in the model) inside and outside the battery are obtained from thermal steady state temperature measurements, whereas the heat capacity (thermal capacitance in the model) is determined from the transient part. The accuracy of the estimation of internal temperature from surface temperature measurements using the model is validated on current-pulse experiments and a complete charge/discharge of the battery and is within 1.5° C. Furthermore, the model allows for simulating the internal temperature directly from the measured current and voltage of the battery. The model is simple enough to be implemented in battery management systems for electric vehicles. © 2009 Elsevier B.V. All rights reserved.","author":[{"dropping-particle":"","family":"Forgez","given":"Christophe","non-dropping-particle":"","parse-names":false,"suffix":""},{"dropping-particle":"","family":"Vinh Do","given":"Dinh","non-dropping-particle":"","parse-names":false,"suffix":""},{"dropping-particle":"","family":"Friedrich","given":"Guy","non-dropping-particle":"","parse-names":false,"suffix":""},{"dropping-particle":"","family":"Morcrette","given":"Mathieu","non-dropping-particle":"","parse-names":false,"suffix":""},{"dropping-particle":"","family":"Delacourt","given":"Charles","non-dropping-particle":"","parse-names":false,"suffix":""}],"container-title":"Journal of Power Sources","id":"ITEM-1","issue":"9","issued":{"date-parts":[["2010","5"]]},"page":"2961-2968","title":"Thermal modeling of a cylindrical LiFePO4/graphite lithium-ion battery","type":"article-journal","volume":"195"},"uris":["http://www.mendeley.com/documents/?uuid=63d3f8e0-0c3f-4d77-bb27-cc18472eb645"]}],"mendeley":{"formattedCitation":"[6]","plainTextFormattedCitation":"[6]","previouslyFormattedCitation":"[138]"},"properties":{"noteIndex":0},"schema":"https://github.com/citation-style-language/schema/raw/master/csl-citation.json"}</w:instrText>
      </w:r>
      <w:r w:rsidR="00D722F4">
        <w:fldChar w:fldCharType="separate"/>
      </w:r>
      <w:r w:rsidR="00D722F4" w:rsidRPr="00D722F4">
        <w:rPr>
          <w:noProof/>
        </w:rPr>
        <w:t>[6]</w:t>
      </w:r>
      <w:r w:rsidR="00D722F4">
        <w:fldChar w:fldCharType="end"/>
      </w:r>
      <w:r>
        <w:t xml:space="preserve"> . These types of methods for SoC estimation are easy to implement, however, they have their limitations. The OCV method ignores the effects of impedance, diffusion and hysteresis voltage. On the other hand, the Coulomb Counting method is </w:t>
      </w:r>
      <w:proofErr w:type="spellStart"/>
      <w:proofErr w:type="gramStart"/>
      <w:r>
        <w:t>a</w:t>
      </w:r>
      <w:proofErr w:type="spellEnd"/>
      <w:proofErr w:type="gramEnd"/>
      <w:r>
        <w:t xml:space="preserve"> open-loop type of estimation with a cumulative error. </w:t>
      </w:r>
    </w:p>
    <w:p w14:paraId="1AA844D1" w14:textId="19BBF656" w:rsidR="00EB4B02" w:rsidRPr="00C03D40" w:rsidRDefault="00EB4B02" w:rsidP="00EB4B02">
      <w:pPr>
        <w:pStyle w:val="Testua"/>
        <w:rPr>
          <w:lang w:val="es-ES"/>
        </w:rPr>
      </w:pPr>
      <w:r>
        <w:t xml:space="preserve">Therefore, more advanced methods are added to this type of estimation techniques, such as Kalman filters, for example. In this work, a Sigma Point Kalman Filter (SPKF) has been added to the ECM model. This algorithm estimates the SOC value based on the measured voltage, current and previously estimated SOC. </w:t>
      </w:r>
      <w:r w:rsidRPr="00C03D40">
        <w:t xml:space="preserve">It has a prediction sub step and a correction sub step that correct predictions to produce a state estimate together with their confidence limits in each measurement interval. More detailed information can be found in </w:t>
      </w:r>
      <w:r w:rsidRPr="00C03D40">
        <w:fldChar w:fldCharType="begin" w:fldLock="1"/>
      </w:r>
      <w:r w:rsidR="00D722F4">
        <w:instrText>ADDIN CSL_CITATION {"citationItems":[{"id":"ITEM-1","itemData":{"DOI":"10.1016/j.jpowsour.2006.06.004","ISSN":"03787753","abstract":"We have previously described algorithms for a battery management system (BMS) that uses Kalman filtering (KF) techniques to estimate such quantities as: cell self-discharge rate, state-of-charge, nominal capacity, resistance, and others. Since the dynamics of electrochemical cells are not linear, we used a nonlinear extension to the original KF called the extended Kalman filter (EKF). Now, we introduce an alternative nonlinear Kalman filtering technique known as \"sigma-point Kalman filtering\" (SPKF), which has some theoretical advantages that manifest themselves in more accurate predictions. The computational complexity of SPKF is of the same order as EKF, so the gains are made at little or no additional cost. This paper is the second in a two-part series. The first paper explored the theoretical background to the Kalman filter, the extended Kalman filter, and the sigma-point Kalman filter. It explained why the SPKF is often superior to the EKF and applied SPKF to estimate the state of a third-generation prototype lithium-ion polymer battery (LiPB) cell in dynamic conditions, including the state-of-charge of the cell. In this paper, we first investigate the use of the SPKF method to estimate battery parameters. A numerically efficient \"square-root sigma-point Kalman filter\" (SR-SPKF) is introduced for this purpose. Additionally, we discuss two SPKF-based methods for simultaneous estimation of both the quickly time-varying state and slowly time-varying parameters. Results are presented for a battery pack based on a fourth-generation prototype LiPB cell, and some limitations of the current approach, based on the probability density functions of estimation error, are also discussed. © 2006 Elsevier B.V. All rights reserved.","author":[{"dropping-particle":"","family":"Plett","given":"Gregory L.","non-dropping-particle":"","parse-names":false,"suffix":""}],"container-title":"Journal of Power Sources","id":"ITEM-1","issue":"2","issued":{"date-parts":[["2006","10"]]},"page":"1369-1384","title":"Sigma-point Kalman filtering for battery management systems of LiPB-based HEV battery packs - Part 2: Simultaneous state and parameter estimation","type":"article-journal","volume":"161"},"uris":["http://www.mendeley.com/documents/?uuid=ec8ddc88-64e5-48f8-9ff4-adadc1317c0d"]},{"id":"ITEM-2","itemData":{"DOI":"10.1016/j.jpowsour.2006.06.003","ISSN":"03787753","abstract":"We have previously described algorithms for a battery management system (BMS) that uses Kalman filtering (KF) techniques to estimate such quantities as: cell self-discharge rate, state-of-charge (SOC), nominal capacity, resistance, and others. Since the dynamics of electrochemical cells are not linear, we used a non-linear extension to the original KF called the extended Kalman filter (EKF). We were able to achieve very good estimates of SOC and other states and parameters using EKF. However, some applications e.g., that of the battery-management-system (BMS) of a hybrid-electric-vehicle (HEV) can require even more accurate estimates than these. To see how to improve on EKF, we must examine the mathematical foundation of that algorithm in more detail than we presented in the prior work to discover the assumptions that are made in its derivation. Since these suppositions are not met exactly in BMS application, we explore an alternative non-linear Kalman filtering techniques known as \"sigma-point Kalman filtering\" (SPKF), which has some theoretical advantages that manifest themselves in more accurate predictions. The computational complexity of SPKF is of the same order as EKF, so the gains are made at little or no additional cost. The SPKF method as applied to BMS algorithms is presented here in a series of two papers. This first paper is devoted primarily to deriving the EKF and SPKF algorithms using the framework of sequential probabilistic inference. This is done to show that the two algorithms, which at first may look quite different, are actually very similar in most respects; also, we discover why we might expect the SPKF to outperform EKF in non-linear estimation applications. Results are presented for a battery pack based on a third-generation prototype LiPB cell, and compared with prior results using EKF. As expected, SPKF outperforms EKF, both in its estimate of SOC and in its estimate of the error bounds thereof. The second paper presents some more advanced algorithms for simultaneous state and parameter estimation, and gives results for a fourth-generation prototype LiPB cell. © 2006 Elsevier B.V. All rights reserved.","author":[{"dropping-particle":"","family":"Plett","given":"Gregory L.","non-dropping-particle":"","parse-names":false,"suffix":""}],"container-title":"Journal of Power Sources","id":"ITEM-2","issue":"2","issued":{"date-parts":[["2006"]]},"page":"1356-1368","title":"Sigma-point Kalman filtering for battery management systems of LiPB-based HEV battery packs. Part 1: Introduction and state estimation","type":"article-journal","volume":"161"},"uris":["http://www.mendeley.com/documents/?uuid=3ddeb6db-338e-408b-a957-8def07ace3a0"]}],"mendeley":{"formattedCitation":"[7], [8]","plainTextFormattedCitation":"[7], [8]","previouslyFormattedCitation":"[6], [7]"},"properties":{"noteIndex":0},"schema":"https://github.com/citation-style-language/schema/raw/master/csl-citation.json"}</w:instrText>
      </w:r>
      <w:r w:rsidRPr="00C03D40">
        <w:fldChar w:fldCharType="separate"/>
      </w:r>
      <w:r w:rsidR="00D722F4" w:rsidRPr="00D722F4">
        <w:rPr>
          <w:noProof/>
        </w:rPr>
        <w:t>[7], [8]</w:t>
      </w:r>
      <w:r w:rsidRPr="00C03D40">
        <w:fldChar w:fldCharType="end"/>
      </w:r>
      <w:r w:rsidRPr="00C03D40">
        <w:t>.</w:t>
      </w:r>
    </w:p>
    <w:p w14:paraId="01AA68CB" w14:textId="3C92A7D8" w:rsidR="00EB4B02" w:rsidRDefault="00FA4293" w:rsidP="00FA4293">
      <w:pPr>
        <w:pStyle w:val="Ttulo2"/>
        <w:numPr>
          <w:ilvl w:val="1"/>
          <w:numId w:val="1"/>
        </w:numPr>
      </w:pPr>
      <w:r>
        <w:t>Thermal</w:t>
      </w:r>
      <w:r>
        <w:t xml:space="preserve"> Model of the Cell</w:t>
      </w:r>
    </w:p>
    <w:p w14:paraId="1FB6AD38" w14:textId="77777777" w:rsidR="00CD2C8D" w:rsidRDefault="00FA4293" w:rsidP="00CD2C8D">
      <w:pPr>
        <w:pStyle w:val="Testua"/>
      </w:pPr>
      <w:r w:rsidRPr="00306D0C">
        <w:t xml:space="preserve">Thermal models are used to describe the thermal gradient of LIBs. They can be used to estimate the temperature at different points in the cell without additional temperature sensors that increase the cost of the cell. </w:t>
      </w:r>
      <w:r w:rsidR="00CD2C8D" w:rsidRPr="00C46814">
        <w:t>The</w:t>
      </w:r>
      <w:r w:rsidR="00CD2C8D" w:rsidRPr="00360239">
        <w:t xml:space="preserve"> </w:t>
      </w:r>
      <w:r w:rsidR="00CD2C8D" w:rsidRPr="00C46814">
        <w:t>chose</w:t>
      </w:r>
      <w:r w:rsidR="00CD2C8D" w:rsidRPr="00360239">
        <w:t xml:space="preserve">n </w:t>
      </w:r>
      <w:r w:rsidR="00CD2C8D" w:rsidRPr="00C46814">
        <w:t>and developed</w:t>
      </w:r>
      <w:r w:rsidR="00CD2C8D">
        <w:t xml:space="preserve"> </w:t>
      </w:r>
      <w:r w:rsidR="00CD2C8D" w:rsidRPr="00360239">
        <w:t>thermal</w:t>
      </w:r>
      <w:r w:rsidR="00CD2C8D" w:rsidRPr="00C46814">
        <w:t xml:space="preserve"> lumped</w:t>
      </w:r>
      <w:r w:rsidR="00CD2C8D" w:rsidRPr="00360239">
        <w:t xml:space="preserve"> </w:t>
      </w:r>
      <w:r w:rsidR="00CD2C8D">
        <w:t>model</w:t>
      </w:r>
      <w:r w:rsidR="00CD2C8D" w:rsidRPr="00C46814">
        <w:t xml:space="preserve"> is described in</w:t>
      </w:r>
      <w:r w:rsidR="00CD2C8D" w:rsidRPr="00360239">
        <w:t xml:space="preserve"> </w:t>
      </w:r>
      <w:r w:rsidR="00CD2C8D">
        <w:t>Fig. 2</w:t>
      </w:r>
      <w:r w:rsidR="00CD2C8D" w:rsidRPr="00360239">
        <w:t xml:space="preserve">. </w:t>
      </w:r>
    </w:p>
    <w:p w14:paraId="45526FDE" w14:textId="72256593" w:rsidR="00FA4293" w:rsidRDefault="00FA4293" w:rsidP="00CD2C8D">
      <w:pPr>
        <w:pStyle w:val="Figures"/>
      </w:pPr>
      <w:r w:rsidRPr="00306D0C">
        <w:drawing>
          <wp:inline distT="0" distB="0" distL="0" distR="0" wp14:anchorId="7451C363" wp14:editId="0FD03BF2">
            <wp:extent cx="1789043" cy="2274593"/>
            <wp:effectExtent l="0" t="0" r="1905" b="0"/>
            <wp:docPr id="4" name="Gráfico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96DAC541-7B7A-43D3-8B79-37D633B846F1}">
                          <asvg:svgBlip xmlns:asvg="http://schemas.microsoft.com/office/drawing/2016/SVG/main" r:embed="rId13"/>
                        </a:ext>
                      </a:extLst>
                    </a:blip>
                    <a:stretch>
                      <a:fillRect/>
                    </a:stretch>
                  </pic:blipFill>
                  <pic:spPr>
                    <a:xfrm>
                      <a:off x="0" y="0"/>
                      <a:ext cx="1810386" cy="2301728"/>
                    </a:xfrm>
                    <a:prstGeom prst="rect">
                      <a:avLst/>
                    </a:prstGeom>
                  </pic:spPr>
                </pic:pic>
              </a:graphicData>
            </a:graphic>
          </wp:inline>
        </w:drawing>
      </w:r>
    </w:p>
    <w:p w14:paraId="069A6906" w14:textId="77777777" w:rsidR="00FA4293" w:rsidRDefault="00FA4293" w:rsidP="00FA4293">
      <w:pPr>
        <w:pStyle w:val="Figuresdescription"/>
      </w:pPr>
      <w:r>
        <w:t xml:space="preserve">Figure 3: </w:t>
      </w:r>
      <w:r w:rsidRPr="00306D0C">
        <w:t>Digital Twin Thermal Lumped Model</w:t>
      </w:r>
    </w:p>
    <w:p w14:paraId="0A8F87FE" w14:textId="38A97943" w:rsidR="00E33F3C" w:rsidRDefault="00FA4293" w:rsidP="00FA4293">
      <w:pPr>
        <w:pStyle w:val="Testua"/>
      </w:pPr>
      <w:r w:rsidRPr="00306D0C">
        <w:t xml:space="preserve">First, the heat generated by each cell </w:t>
      </w:r>
      <m:oMath>
        <m:d>
          <m:dPr>
            <m:ctrlPr>
              <w:rPr>
                <w:rFonts w:ascii="Cambria Math" w:hAnsi="Cambria Math"/>
                <w:i/>
              </w:rPr>
            </m:ctrlPr>
          </m:dPr>
          <m:e>
            <m:acc>
              <m:accPr>
                <m:chr m:val="̇"/>
                <m:ctrlPr>
                  <w:rPr>
                    <w:rFonts w:ascii="Cambria Math" w:hAnsi="Cambria Math"/>
                  </w:rPr>
                </m:ctrlPr>
              </m:accPr>
              <m:e>
                <m:r>
                  <w:rPr>
                    <w:rFonts w:ascii="Cambria Math" w:hAnsi="Cambria Math"/>
                  </w:rPr>
                  <m:t>Q</m:t>
                </m:r>
              </m:e>
            </m:acc>
          </m:e>
        </m:d>
      </m:oMath>
      <w:r w:rsidRPr="00306D0C">
        <w:t xml:space="preserve"> and the accumulated heat </w:t>
      </w:r>
      <m:oMath>
        <m:d>
          <m:dPr>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s</m:t>
                </m:r>
              </m:sub>
            </m:sSub>
          </m:e>
        </m:d>
      </m:oMath>
      <w:r w:rsidRPr="00306D0C">
        <w:t xml:space="preserve"> are calculated. In addition, the heat transferred to the cell surface by conduction </w:t>
      </w:r>
      <m:oMath>
        <m:d>
          <m:dPr>
            <m:ctrlPr>
              <w:rPr>
                <w:rFonts w:ascii="Cambria Math" w:hAnsi="Cambria Math"/>
                <w:i/>
              </w:rPr>
            </m:ctrlPr>
          </m:dPr>
          <m:e>
            <m:sSub>
              <m:sSubPr>
                <m:ctrlPr>
                  <w:rPr>
                    <w:rFonts w:ascii="Cambria Math" w:hAnsi="Cambria Math"/>
                    <w:i/>
                  </w:rPr>
                </m:ctrlPr>
              </m:sSubPr>
              <m:e>
                <m:r>
                  <w:rPr>
                    <w:rFonts w:ascii="Cambria Math" w:hAnsi="Cambria Math"/>
                  </w:rPr>
                  <m:t>Q</m:t>
                </m:r>
              </m:e>
              <m:sub>
                <m:r>
                  <w:rPr>
                    <w:rFonts w:ascii="Cambria Math" w:hAnsi="Cambria Math"/>
                  </w:rPr>
                  <m:t>cd,i</m:t>
                </m:r>
              </m:sub>
            </m:sSub>
          </m:e>
        </m:d>
      </m:oMath>
      <w:r w:rsidRPr="00306D0C">
        <w:t xml:space="preserve"> is calculated in all three dimensions. This heat transferred to each cell surface is dissipated by convection </w:t>
      </w:r>
      <m:oMath>
        <m:d>
          <m:dPr>
            <m:ctrlPr>
              <w:rPr>
                <w:rFonts w:ascii="Cambria Math" w:hAnsi="Cambria Math"/>
                <w:i/>
              </w:rPr>
            </m:ctrlPr>
          </m:dPr>
          <m:e>
            <m:sSub>
              <m:sSubPr>
                <m:ctrlPr>
                  <w:rPr>
                    <w:rFonts w:ascii="Cambria Math" w:hAnsi="Cambria Math"/>
                    <w:i/>
                  </w:rPr>
                </m:ctrlPr>
              </m:sSubPr>
              <m:e>
                <m:r>
                  <w:rPr>
                    <w:rFonts w:ascii="Cambria Math" w:hAnsi="Cambria Math"/>
                  </w:rPr>
                  <m:t>Q</m:t>
                </m:r>
              </m:e>
              <m:sub>
                <m:r>
                  <w:rPr>
                    <w:rFonts w:ascii="Cambria Math" w:hAnsi="Cambria Math"/>
                  </w:rPr>
                  <m:t>cv,i</m:t>
                </m:r>
              </m:sub>
            </m:sSub>
          </m:e>
        </m:d>
      </m:oMath>
      <w:r w:rsidRPr="00306D0C">
        <w:t xml:space="preserve"> and radiation </w:t>
      </w:r>
      <m:oMath>
        <m:d>
          <m:dPr>
            <m:ctrlPr>
              <w:rPr>
                <w:rFonts w:ascii="Cambria Math" w:hAnsi="Cambria Math"/>
                <w:i/>
              </w:rPr>
            </m:ctrlPr>
          </m:dPr>
          <m:e>
            <m:sSub>
              <m:sSubPr>
                <m:ctrlPr>
                  <w:rPr>
                    <w:rFonts w:ascii="Cambria Math" w:hAnsi="Cambria Math"/>
                    <w:i/>
                  </w:rPr>
                </m:ctrlPr>
              </m:sSubPr>
              <m:e>
                <m:r>
                  <w:rPr>
                    <w:rFonts w:ascii="Cambria Math" w:hAnsi="Cambria Math"/>
                  </w:rPr>
                  <m:t>Q</m:t>
                </m:r>
              </m:e>
              <m:sub>
                <m:r>
                  <w:rPr>
                    <w:rFonts w:ascii="Cambria Math" w:hAnsi="Cambria Math"/>
                  </w:rPr>
                  <m:t>rd,i</m:t>
                </m:r>
              </m:sub>
            </m:sSub>
          </m:e>
        </m:d>
      </m:oMath>
      <w:r w:rsidRPr="00306D0C">
        <w:t>. This heat power is calculated with the resistance corresponding to each of the cell geometries (radial and axial in this case).</w:t>
      </w:r>
      <w:r w:rsidR="00E33F3C">
        <w:t xml:space="preserve"> </w:t>
      </w:r>
      <w:r w:rsidRPr="00306D0C">
        <w:t xml:space="preserve">The thermodynamic energy balance of lithium-ion batteries has been discussed in detail by </w:t>
      </w:r>
      <w:proofErr w:type="spellStart"/>
      <w:r w:rsidRPr="00306D0C">
        <w:t>Bernardi</w:t>
      </w:r>
      <w:proofErr w:type="spellEnd"/>
      <w:r w:rsidRPr="00306D0C">
        <w:t xml:space="preserve"> et al. [].</w:t>
      </w:r>
      <w:r w:rsidR="00E33F3C">
        <w:t xml:space="preserve"> </w:t>
      </w:r>
      <w:r w:rsidRPr="00306D0C">
        <w:t xml:space="preserve">However, not all processes have been </w:t>
      </w:r>
      <w:proofErr w:type="gramStart"/>
      <w:r w:rsidRPr="00306D0C">
        <w:t>taken into account</w:t>
      </w:r>
      <w:proofErr w:type="gramEnd"/>
      <w:r w:rsidRPr="00306D0C">
        <w:t xml:space="preserve"> in this work, only heat generation, heat storage capacity, heat transfer and finally heat dissipation.</w:t>
      </w:r>
      <w:r w:rsidR="00E33F3C">
        <w:t xml:space="preserve"> </w:t>
      </w:r>
    </w:p>
    <w:p w14:paraId="1132B422" w14:textId="473F8961" w:rsidR="00FA4293" w:rsidRDefault="00FA4293" w:rsidP="00FA4293">
      <w:pPr>
        <w:pStyle w:val="Testua"/>
      </w:pPr>
      <w:r w:rsidRPr="00306D0C">
        <w:t>The generation of heat (</w:t>
      </w:r>
      <m:oMath>
        <m:sSub>
          <m:sSubPr>
            <m:ctrlPr>
              <w:rPr>
                <w:rFonts w:ascii="Cambria Math" w:hAnsi="Cambria Math"/>
                <w:i/>
              </w:rPr>
            </m:ctrlPr>
          </m:sSubPr>
          <m:e>
            <m:r>
              <w:rPr>
                <w:rFonts w:ascii="Cambria Math" w:hAnsi="Cambria Math"/>
              </w:rPr>
              <m:t>q</m:t>
            </m:r>
          </m:e>
          <m:sub>
            <m:r>
              <w:rPr>
                <w:rFonts w:ascii="Cambria Math" w:hAnsi="Cambria Math"/>
              </w:rPr>
              <m:t>gen</m:t>
            </m:r>
          </m:sub>
        </m:sSub>
      </m:oMath>
      <w:r w:rsidRPr="00306D0C">
        <w:t xml:space="preserve">) is given by the result of the transfer of charges releasing irreversible thermal energy, as well as by the reversible electro-chemical reactions </w:t>
      </w:r>
      <w:r w:rsidR="00E33F3C">
        <w:t>in</w:t>
      </w:r>
      <w:r w:rsidRPr="00306D0C">
        <w:t xml:space="preserve"> the cell. A simplified form of the equation proposed by </w:t>
      </w:r>
      <w:proofErr w:type="spellStart"/>
      <w:r w:rsidRPr="00306D0C">
        <w:t>Bernardi</w:t>
      </w:r>
      <w:proofErr w:type="spellEnd"/>
      <w:r w:rsidRPr="00306D0C">
        <w:t xml:space="preserve"> et al. can be used as an expression of the heat source in the lithium-ion cell tested in this work by the following equation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610"/>
      </w:tblGrid>
      <w:tr w:rsidR="00FA4293" w14:paraId="0C9A897C" w14:textId="77777777" w:rsidTr="006C0843">
        <w:tc>
          <w:tcPr>
            <w:tcW w:w="8784" w:type="dxa"/>
            <w:vAlign w:val="center"/>
          </w:tcPr>
          <w:p w14:paraId="0F85BF0D" w14:textId="75A45B18" w:rsidR="00FA4293" w:rsidRDefault="00FA4293" w:rsidP="006C0843">
            <w:pPr>
              <w:pStyle w:val="Testua"/>
              <w:jc w:val="center"/>
            </w:pPr>
            <m:oMathPara>
              <m:oMath>
                <m:sSub>
                  <m:sSubPr>
                    <m:ctrlPr>
                      <w:rPr>
                        <w:rFonts w:ascii="Cambria Math" w:hAnsi="Cambria Math"/>
                      </w:rPr>
                    </m:ctrlPr>
                  </m:sSubPr>
                  <m:e>
                    <m:r>
                      <w:rPr>
                        <w:rFonts w:ascii="Cambria Math" w:hAnsi="Cambria Math"/>
                      </w:rPr>
                      <m:t>q</m:t>
                    </m:r>
                  </m:e>
                  <m:sub>
                    <m:r>
                      <w:rPr>
                        <w:rFonts w:ascii="Cambria Math" w:hAnsi="Cambria Math"/>
                      </w:rPr>
                      <m:t>gen</m:t>
                    </m:r>
                  </m:sub>
                </m:sSub>
                <m:r>
                  <m:rPr>
                    <m:sty m:val="p"/>
                  </m:rPr>
                  <w:rPr>
                    <w:rFonts w:ascii="Cambria Math" w:hAnsi="Cambria Math"/>
                  </w:rPr>
                  <m:t>=</m:t>
                </m:r>
                <m:r>
                  <w:rPr>
                    <w:rFonts w:ascii="Cambria Math" w:hAnsi="Cambria Math"/>
                  </w:rPr>
                  <m:t>I</m:t>
                </m:r>
                <m:d>
                  <m:dPr>
                    <m:ctrlPr>
                      <w:rPr>
                        <w:rFonts w:ascii="Cambria Math" w:hAnsi="Cambria Math"/>
                      </w:rPr>
                    </m:ctrlPr>
                  </m:dPr>
                  <m:e>
                    <m:r>
                      <w:rPr>
                        <w:rFonts w:ascii="Cambria Math" w:hAnsi="Cambria Math"/>
                      </w:rPr>
                      <m:t>V</m:t>
                    </m:r>
                    <m:r>
                      <m:rPr>
                        <m:sty m:val="p"/>
                      </m:rPr>
                      <w:rPr>
                        <w:rFonts w:ascii="Cambria Math" w:hAnsi="Cambria Math"/>
                      </w:rPr>
                      <m:t>-</m:t>
                    </m:r>
                    <m:sSup>
                      <m:sSupPr>
                        <m:ctrlPr>
                          <w:rPr>
                            <w:rFonts w:ascii="Cambria Math" w:hAnsi="Cambria Math"/>
                          </w:rPr>
                        </m:ctrlPr>
                      </m:sSupPr>
                      <m:e>
                        <m:r>
                          <w:rPr>
                            <w:rFonts w:ascii="Cambria Math" w:hAnsi="Cambria Math"/>
                          </w:rPr>
                          <m:t>U</m:t>
                        </m:r>
                      </m:e>
                      <m:sup>
                        <m:r>
                          <w:rPr>
                            <w:rFonts w:ascii="Cambria Math" w:hAnsi="Cambria Math"/>
                          </w:rPr>
                          <m:t>avg</m:t>
                        </m:r>
                      </m:sup>
                    </m:sSup>
                  </m:e>
                </m:d>
                <m:r>
                  <m:rPr>
                    <m:sty m:val="p"/>
                  </m:rPr>
                  <w:rPr>
                    <w:rFonts w:ascii="Cambria Math" w:hAnsi="Cambria Math"/>
                  </w:rPr>
                  <m:t>+</m:t>
                </m:r>
                <m:r>
                  <w:rPr>
                    <w:rFonts w:ascii="Cambria Math" w:hAnsi="Cambria Math"/>
                  </w:rPr>
                  <m:t>IT</m:t>
                </m:r>
                <m:f>
                  <m:fPr>
                    <m:ctrlPr>
                      <w:rPr>
                        <w:rFonts w:ascii="Cambria Math" w:hAnsi="Cambria Math"/>
                      </w:rPr>
                    </m:ctrlPr>
                  </m:fPr>
                  <m:num>
                    <m:r>
                      <w:rPr>
                        <w:rFonts w:ascii="Cambria Math" w:hAnsi="Cambria Math"/>
                      </w:rPr>
                      <m:t>d</m:t>
                    </m:r>
                    <m:sSup>
                      <m:sSupPr>
                        <m:ctrlPr>
                          <w:rPr>
                            <w:rFonts w:ascii="Cambria Math" w:hAnsi="Cambria Math"/>
                          </w:rPr>
                        </m:ctrlPr>
                      </m:sSupPr>
                      <m:e>
                        <m:r>
                          <w:rPr>
                            <w:rFonts w:ascii="Cambria Math" w:hAnsi="Cambria Math"/>
                          </w:rPr>
                          <m:t>U</m:t>
                        </m:r>
                      </m:e>
                      <m:sup>
                        <m:r>
                          <w:rPr>
                            <w:rFonts w:ascii="Cambria Math" w:hAnsi="Cambria Math"/>
                          </w:rPr>
                          <m:t>avg</m:t>
                        </m:r>
                      </m:sup>
                    </m:sSup>
                  </m:num>
                  <m:den>
                    <m:r>
                      <w:rPr>
                        <w:rFonts w:ascii="Cambria Math" w:hAnsi="Cambria Math"/>
                      </w:rPr>
                      <m:t>dT</m:t>
                    </m:r>
                  </m:den>
                </m:f>
                <m:r>
                  <m:rPr>
                    <m:sty m:val="p"/>
                  </m:rPr>
                  <w:rPr>
                    <w:rFonts w:ascii="Cambria Math" w:hAnsi="Cambria Math"/>
                  </w:rPr>
                  <m:t>=</m:t>
                </m:r>
                <m:sSup>
                  <m:sSupPr>
                    <m:ctrlPr>
                      <w:rPr>
                        <w:rFonts w:ascii="Cambria Math" w:hAnsi="Cambria Math"/>
                      </w:rPr>
                    </m:ctrlPr>
                  </m:sSupPr>
                  <m:e>
                    <m:r>
                      <w:rPr>
                        <w:rFonts w:ascii="Cambria Math" w:hAnsi="Cambria Math"/>
                      </w:rPr>
                      <m:t>I</m:t>
                    </m:r>
                  </m:e>
                  <m:sup>
                    <m:r>
                      <m:rPr>
                        <m:sty m:val="p"/>
                      </m:rPr>
                      <w:rPr>
                        <w:rFonts w:ascii="Cambria Math" w:hAnsi="Cambria Math"/>
                      </w:rPr>
                      <m:t>2</m:t>
                    </m:r>
                  </m:sup>
                </m:sSup>
                <m:r>
                  <m:rPr>
                    <m:sty m:val="p"/>
                  </m:rPr>
                  <w:rPr>
                    <w:rFonts w:ascii="Cambria Math" w:hAnsi="Cambria Math"/>
                  </w:rPr>
                  <m:t>∙</m:t>
                </m:r>
                <m:sSub>
                  <m:sSubPr>
                    <m:ctrlPr>
                      <w:rPr>
                        <w:rFonts w:ascii="Cambria Math" w:hAnsi="Cambria Math"/>
                      </w:rPr>
                    </m:ctrlPr>
                  </m:sSubPr>
                  <m:e>
                    <m:r>
                      <w:rPr>
                        <w:rFonts w:ascii="Cambria Math" w:hAnsi="Cambria Math"/>
                      </w:rPr>
                      <m:t>R</m:t>
                    </m:r>
                  </m:e>
                  <m:sub>
                    <m:r>
                      <m:rPr>
                        <m:sty m:val="p"/>
                      </m:rPr>
                      <w:rPr>
                        <w:rFonts w:ascii="Cambria Math" w:hAnsi="Cambria Math"/>
                      </w:rPr>
                      <m:t>0</m:t>
                    </m:r>
                  </m:sub>
                </m:sSub>
                <m:r>
                  <m:rPr>
                    <m:sty m:val="p"/>
                  </m:rPr>
                  <w:rPr>
                    <w:rFonts w:ascii="Cambria Math" w:hAnsi="Cambria Math"/>
                  </w:rPr>
                  <m:t>+</m:t>
                </m:r>
                <m:r>
                  <w:rPr>
                    <w:rFonts w:ascii="Cambria Math" w:hAnsi="Cambria Math"/>
                  </w:rPr>
                  <m:t>I</m:t>
                </m:r>
                <m:r>
                  <m:rPr>
                    <m:sty m:val="p"/>
                  </m:rPr>
                  <w:rPr>
                    <w:rFonts w:ascii="Cambria Math" w:hAnsi="Cambria Math"/>
                  </w:rPr>
                  <m:t>∙</m:t>
                </m:r>
                <m:r>
                  <w:rPr>
                    <w:rFonts w:ascii="Cambria Math" w:hAnsi="Cambria Math"/>
                  </w:rPr>
                  <m:t>T</m:t>
                </m:r>
                <m:r>
                  <m:rPr>
                    <m:sty m:val="p"/>
                  </m:rPr>
                  <w:rPr>
                    <w:rFonts w:ascii="Cambria Math" w:hAnsi="Cambria Math"/>
                  </w:rPr>
                  <m:t>∙</m:t>
                </m:r>
                <m:r>
                  <w:rPr>
                    <w:rFonts w:ascii="Cambria Math" w:hAnsi="Cambria Math"/>
                  </w:rPr>
                  <m:t>EHC</m:t>
                </m:r>
              </m:oMath>
            </m:oMathPara>
          </w:p>
        </w:tc>
        <w:tc>
          <w:tcPr>
            <w:tcW w:w="610" w:type="dxa"/>
          </w:tcPr>
          <w:p w14:paraId="18FF1377" w14:textId="0CB0476E" w:rsidR="00FA4293" w:rsidRDefault="00FA4293" w:rsidP="006C0843">
            <w:pPr>
              <w:pStyle w:val="Testua"/>
              <w:jc w:val="right"/>
            </w:pPr>
            <w:r>
              <w:t>(</w:t>
            </w:r>
            <w:r w:rsidR="00D365A6">
              <w:t>3</w:t>
            </w:r>
            <w:r>
              <w:t>)</w:t>
            </w:r>
          </w:p>
        </w:tc>
      </w:tr>
    </w:tbl>
    <w:p w14:paraId="32820B8E" w14:textId="77777777" w:rsidR="00FA4293" w:rsidRPr="00306D0C" w:rsidRDefault="00FA4293" w:rsidP="00FA4293">
      <w:pPr>
        <w:pStyle w:val="Testua"/>
      </w:pPr>
      <w:r w:rsidRPr="00306D0C">
        <w:t xml:space="preserve">where, </w:t>
      </w:r>
      <m:oMath>
        <m:r>
          <w:rPr>
            <w:rFonts w:ascii="Cambria Math" w:hAnsi="Cambria Math"/>
          </w:rPr>
          <m:t>I</m:t>
        </m:r>
      </m:oMath>
      <w:r w:rsidRPr="00306D0C">
        <w:t xml:space="preserve"> is the current through the cell in Amperes; </w:t>
      </w:r>
      <m:oMath>
        <m:r>
          <w:rPr>
            <w:rFonts w:ascii="Cambria Math" w:hAnsi="Cambria Math"/>
          </w:rPr>
          <m:t>V</m:t>
        </m:r>
      </m:oMath>
      <w:r w:rsidRPr="00306D0C">
        <w:t xml:space="preserve"> is the terminal voltage of the cell in Volts; </w:t>
      </w:r>
      <m:oMath>
        <m:sSup>
          <m:sSupPr>
            <m:ctrlPr>
              <w:rPr>
                <w:rFonts w:ascii="Cambria Math" w:hAnsi="Cambria Math"/>
                <w:i/>
              </w:rPr>
            </m:ctrlPr>
          </m:sSupPr>
          <m:e>
            <m:r>
              <w:rPr>
                <w:rFonts w:ascii="Cambria Math" w:hAnsi="Cambria Math"/>
              </w:rPr>
              <m:t>U</m:t>
            </m:r>
          </m:e>
          <m:sup>
            <m:r>
              <w:rPr>
                <w:rFonts w:ascii="Cambria Math" w:hAnsi="Cambria Math"/>
              </w:rPr>
              <m:t>avg</m:t>
            </m:r>
          </m:sup>
        </m:sSup>
      </m:oMath>
      <w:r w:rsidRPr="00306D0C">
        <w:t xml:space="preserve"> is the average </w:t>
      </w:r>
      <m:oMath>
        <m:r>
          <w:rPr>
            <w:rFonts w:ascii="Cambria Math" w:hAnsi="Cambria Math"/>
          </w:rPr>
          <m:t>OCV</m:t>
        </m:r>
      </m:oMath>
      <w:r w:rsidRPr="00306D0C">
        <w:t xml:space="preserve"> in Volts; </w:t>
      </w:r>
      <m:oMath>
        <m:r>
          <w:rPr>
            <w:rFonts w:ascii="Cambria Math" w:hAnsi="Cambria Math"/>
          </w:rPr>
          <m:t>T</m:t>
        </m:r>
      </m:oMath>
      <w:r w:rsidRPr="00306D0C">
        <w:t xml:space="preserve"> is the temperature of the cell in degrees Celsius (</w:t>
      </w:r>
      <m:oMath>
        <m:r>
          <w:rPr>
            <w:rFonts w:ascii="Cambria Math" w:hAnsi="Cambria Math"/>
          </w:rPr>
          <m:t>℃</m:t>
        </m:r>
      </m:oMath>
      <w:r w:rsidRPr="00306D0C">
        <w:t xml:space="preserve">) and </w:t>
      </w:r>
      <m:oMath>
        <m:d>
          <m:dPr>
            <m:ctrlPr>
              <w:rPr>
                <w:rFonts w:ascii="Cambria Math" w:hAnsi="Cambria Math"/>
                <w:i/>
                <w:spacing w:val="-1"/>
                <w:sz w:val="20"/>
                <w:szCs w:val="20"/>
              </w:rPr>
            </m:ctrlPr>
          </m:dPr>
          <m:e>
            <m:f>
              <m:fPr>
                <m:type m:val="lin"/>
                <m:ctrlPr>
                  <w:rPr>
                    <w:rFonts w:ascii="Cambria Math" w:hAnsi="Cambria Math"/>
                    <w:i/>
                    <w:spacing w:val="-1"/>
                    <w:sz w:val="20"/>
                    <w:szCs w:val="20"/>
                  </w:rPr>
                </m:ctrlPr>
              </m:fPr>
              <m:num>
                <m:sSup>
                  <m:sSupPr>
                    <m:ctrlPr>
                      <w:rPr>
                        <w:rFonts w:ascii="Cambria Math" w:hAnsi="Cambria Math"/>
                        <w:i/>
                      </w:rPr>
                    </m:ctrlPr>
                  </m:sSupPr>
                  <m:e>
                    <m:r>
                      <w:rPr>
                        <w:rFonts w:ascii="Cambria Math" w:hAnsi="Cambria Math"/>
                      </w:rPr>
                      <m:t>dU</m:t>
                    </m:r>
                  </m:e>
                  <m:sup>
                    <m:r>
                      <w:rPr>
                        <w:rFonts w:ascii="Cambria Math" w:hAnsi="Cambria Math"/>
                      </w:rPr>
                      <m:t>avg</m:t>
                    </m:r>
                  </m:sup>
                </m:sSup>
              </m:num>
              <m:den>
                <m:r>
                  <w:rPr>
                    <w:rFonts w:ascii="Cambria Math" w:hAnsi="Cambria Math"/>
                  </w:rPr>
                  <m:t>dT</m:t>
                </m:r>
              </m:den>
            </m:f>
          </m:e>
        </m:d>
      </m:oMath>
      <w:r w:rsidRPr="00306D0C">
        <w:t xml:space="preserve">  is the Entropic Heat Coefficient (</w:t>
      </w:r>
      <m:oMath>
        <m:r>
          <w:rPr>
            <w:rFonts w:ascii="Cambria Math" w:hAnsi="Cambria Math"/>
          </w:rPr>
          <m:t>EHC</m:t>
        </m:r>
      </m:oMath>
      <w:r w:rsidRPr="00306D0C">
        <w:t xml:space="preserve">) in </w:t>
      </w:r>
      <m:oMath>
        <m:d>
          <m:dPr>
            <m:ctrlPr>
              <w:rPr>
                <w:rFonts w:ascii="Cambria Math" w:hAnsi="Cambria Math"/>
                <w:i/>
              </w:rPr>
            </m:ctrlPr>
          </m:dPr>
          <m:e>
            <m:r>
              <w:rPr>
                <w:rFonts w:ascii="Cambria Math" w:hAnsi="Cambria Math"/>
              </w:rPr>
              <m:t>Volts</m:t>
            </m:r>
            <m:r>
              <m:rPr>
                <m:lit/>
              </m:rPr>
              <w:rPr>
                <w:rFonts w:ascii="Cambria Math" w:hAnsi="Cambria Math"/>
              </w:rPr>
              <m:t>/</m:t>
            </m:r>
            <m:r>
              <w:rPr>
                <w:rFonts w:ascii="Cambria Math" w:hAnsi="Cambria Math"/>
              </w:rPr>
              <m:t>℃</m:t>
            </m:r>
          </m:e>
        </m:d>
      </m:oMath>
      <w:r w:rsidRPr="00306D0C">
        <w:t xml:space="preserve"> defined by the changes of the equilibrium potential with temperature.</w:t>
      </w:r>
    </w:p>
    <w:p w14:paraId="6269F7E5" w14:textId="4FD54DC1" w:rsidR="00FA4293" w:rsidRDefault="00FA4293" w:rsidP="00FA4293">
      <w:pPr>
        <w:pStyle w:val="Testua"/>
      </w:pPr>
      <w:r w:rsidRPr="00306D0C">
        <w:t>Irreversible heat is defined as the heat which behaves as an exothermic process regardless of whether the cell is charging or discharging. On the other hand, the reversible heat is the heat that defines the exothermic or endothermic performance of the cell. The EHC defines the amount of heat generated or absorbed for each SoC step in the charging or discharging processes. With positive EHC values, a cell will generate heat during charging (positive current value) while it will absorb heat during discharging (negative current value). The opposite happens with negative EHC values. EHC changes are subject to each cell and must be studied for each characterisation</w:t>
      </w:r>
      <w:r w:rsidR="00AD7023">
        <w:t xml:space="preserve"> </w:t>
      </w:r>
      <w:r w:rsidR="00AD7023">
        <w:fldChar w:fldCharType="begin" w:fldLock="1"/>
      </w:r>
      <w:r w:rsidR="00D722F4">
        <w:instrText>ADDIN CSL_CITATION {"citationItems":[{"id":"ITEM-1","itemData":{"DOI":"10.1149/2.042302jes","ISSN":"0013-4651","abstract":"This paper describes a thermal model that represents the heat generation behavior of a large format (10.5 Ah) Li-ion pouch cell. The thermal model is based on the calculation of the heat generation from experimental measurements of internal resistance and the entropic heat coefficient. Predictions from the thermal model are compared with experimental adiabatic calorimetry data. Higher discharge rates and larger temperature operation ranges than the ones reported in prior studies are considered. Results from the thermal model simulations have a prediction error of 21% in comparison with the experimental ones for discharge processes carried out at moderate rates. For discharge processes carried out at high discharge rates a maximum prediction error of 15% has been determined. The advantages and disadvantages of the model are further discussed, taking into account aspects such as accuracy, model development and implementation in different thermal management system designs. © 2012 The Electrochemical Society.","author":[{"dropping-particle":"","family":"Nieto","given":"Nerea","non-dropping-particle":"","parse-names":false,"suffix":""},{"dropping-particle":"","family":"Díaz","given":"Luis","non-dropping-particle":"","parse-names":false,"suffix":""},{"dropping-particle":"","family":"Gastelurrutia","given":"Jon","non-dropping-particle":"","parse-names":false,"suffix":""},{"dropping-particle":"","family":"Alava","given":"Isabel","non-dropping-particle":"","parse-names":false,"suffix":""},{"dropping-particle":"","family":"Blanco","given":"Francisco","non-dropping-particle":"","parse-names":false,"suffix":""},{"dropping-particle":"","family":"Carlos Ramos","given":"Juan","non-dropping-particle":"","parse-names":false,"suffix":""},{"dropping-particle":"","family":"Rivas","given":"Alejandro","non-dropping-particle":"","parse-names":false,"suffix":""}],"container-title":"Journal of The Electrochemical Society","id":"ITEM-1","issue":"2","issued":{"date-parts":[["2013","11","30"]]},"note":"THERMAL MODELING:\nIkerlanen egindako paperra. N.Nieto\nModelo termikoa ateratzeko, bero sorreraren ekuazioa azaltzen da.","page":"A212-A217","title":"Thermal Modeling of Large Format Lithium-Ion Cells","type":"article-journal","volume":"160"},"uris":["http://www.mendeley.com/documents/?uuid=6c73b8d4-3b46-4579-a920-ed8a6b9df141"]}],"mendeley":{"formattedCitation":"[9]","plainTextFormattedCitation":"[9]","previouslyFormattedCitation":"[8]"},"properties":{"noteIndex":0},"schema":"https://github.com/citation-style-language/schema/raw/master/csl-citation.json"}</w:instrText>
      </w:r>
      <w:r w:rsidR="00AD7023">
        <w:fldChar w:fldCharType="separate"/>
      </w:r>
      <w:r w:rsidR="00D722F4" w:rsidRPr="00D722F4">
        <w:rPr>
          <w:noProof/>
        </w:rPr>
        <w:t>[9]</w:t>
      </w:r>
      <w:r w:rsidR="00AD7023">
        <w:fldChar w:fldCharType="end"/>
      </w:r>
      <w:r w:rsidRPr="00306D0C">
        <w:t>.</w:t>
      </w:r>
    </w:p>
    <w:p w14:paraId="1657F492" w14:textId="0855CCBD" w:rsidR="00FA4293" w:rsidRDefault="00FA4293" w:rsidP="00FA4293">
      <w:pPr>
        <w:pStyle w:val="Testua"/>
        <w:rPr>
          <w:rFonts w:eastAsiaTheme="minorEastAsia"/>
        </w:rPr>
      </w:pPr>
      <w:r w:rsidRPr="00306D0C">
        <w:t>In</w:t>
      </w:r>
      <w:r>
        <w:t xml:space="preserve"> Fig 3</w:t>
      </w:r>
      <w:r w:rsidRPr="00306D0C">
        <w:fldChar w:fldCharType="begin"/>
      </w:r>
      <w:r w:rsidRPr="00306D0C">
        <w:instrText xml:space="preserve"> REF _Ref54597978 \h  \* MERGEFORMAT </w:instrText>
      </w:r>
      <w:r>
        <w:fldChar w:fldCharType="separate"/>
      </w:r>
      <w:r w:rsidRPr="00306D0C">
        <w:fldChar w:fldCharType="end"/>
      </w:r>
      <w:r w:rsidRPr="00306D0C">
        <w:t xml:space="preserve">, the capacitance </w:t>
      </w:r>
      <m:oMath>
        <m:sSub>
          <m:sSubPr>
            <m:ctrlPr>
              <w:rPr>
                <w:rFonts w:ascii="Cambria Math" w:hAnsi="Cambria Math"/>
                <w:i/>
              </w:rPr>
            </m:ctrlPr>
          </m:sSubPr>
          <m:e>
            <m:r>
              <w:rPr>
                <w:rFonts w:ascii="Cambria Math" w:hAnsi="Cambria Math"/>
              </w:rPr>
              <m:t>C</m:t>
            </m:r>
          </m:e>
          <m:sub>
            <m:r>
              <w:rPr>
                <w:rFonts w:ascii="Cambria Math" w:hAnsi="Cambria Math"/>
              </w:rPr>
              <m:t>P</m:t>
            </m:r>
          </m:sub>
        </m:sSub>
      </m:oMath>
      <w:r w:rsidRPr="00306D0C">
        <w:t xml:space="preserve"> describes the accumulated heat of the cell resulting in the temperature rise.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610"/>
      </w:tblGrid>
      <w:tr w:rsidR="00FA4293" w14:paraId="5521CBC1" w14:textId="77777777" w:rsidTr="006C0843">
        <w:tc>
          <w:tcPr>
            <w:tcW w:w="8784" w:type="dxa"/>
            <w:vAlign w:val="center"/>
          </w:tcPr>
          <w:p w14:paraId="5A0B835B" w14:textId="7750DF7E" w:rsidR="00FA4293" w:rsidRDefault="00FA4293" w:rsidP="006C0843">
            <w:pPr>
              <w:pStyle w:val="Testua"/>
              <w:jc w:val="center"/>
            </w:pPr>
            <m:oMathPara>
              <m:oMath>
                <m:sSub>
                  <m:sSubPr>
                    <m:ctrlPr>
                      <w:rPr>
                        <w:rFonts w:ascii="Cambria Math" w:hAnsi="Cambria Math"/>
                      </w:rPr>
                    </m:ctrlPr>
                  </m:sSubPr>
                  <m:e>
                    <m:r>
                      <w:rPr>
                        <w:rFonts w:ascii="Cambria Math" w:hAnsi="Cambria Math"/>
                      </w:rPr>
                      <m:t>q</m:t>
                    </m:r>
                  </m:e>
                  <m:sub>
                    <m:r>
                      <w:rPr>
                        <w:rFonts w:ascii="Cambria Math" w:hAnsi="Cambria Math"/>
                      </w:rPr>
                      <m:t>accum</m:t>
                    </m:r>
                  </m:sub>
                </m:sSub>
                <m:r>
                  <m:rPr>
                    <m:sty m:val="p"/>
                  </m:rPr>
                  <w:rPr>
                    <w:rFonts w:ascii="Cambria Math" w:hAnsi="Cambria Math"/>
                  </w:rPr>
                  <m:t>=</m:t>
                </m:r>
                <m:r>
                  <w:rPr>
                    <w:rFonts w:ascii="Cambria Math" w:hAnsi="Cambria Math"/>
                  </w:rPr>
                  <m:t>m</m:t>
                </m:r>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p</m:t>
                    </m:r>
                  </m:sub>
                </m:sSub>
                <m:r>
                  <m:rPr>
                    <m:sty m:val="p"/>
                  </m:rPr>
                  <w:rPr>
                    <w:rFonts w:ascii="Cambria Math" w:hAnsi="Cambria Math"/>
                  </w:rPr>
                  <m:t>·∆</m:t>
                </m:r>
                <m:r>
                  <w:rPr>
                    <w:rFonts w:ascii="Cambria Math" w:hAnsi="Cambria Math"/>
                  </w:rPr>
                  <m:t>T</m:t>
                </m:r>
              </m:oMath>
            </m:oMathPara>
          </w:p>
        </w:tc>
        <w:tc>
          <w:tcPr>
            <w:tcW w:w="610" w:type="dxa"/>
          </w:tcPr>
          <w:p w14:paraId="06BB2908" w14:textId="32FF913B" w:rsidR="00FA4293" w:rsidRDefault="00FA4293" w:rsidP="006C0843">
            <w:pPr>
              <w:pStyle w:val="Testua"/>
              <w:jc w:val="right"/>
            </w:pPr>
            <w:r>
              <w:t>(</w:t>
            </w:r>
            <w:r w:rsidR="00D365A6">
              <w:t>4</w:t>
            </w:r>
            <w:r>
              <w:t>)</w:t>
            </w:r>
          </w:p>
        </w:tc>
      </w:tr>
    </w:tbl>
    <w:p w14:paraId="58987E42" w14:textId="0312D0B8" w:rsidR="00FA4293" w:rsidRDefault="00FA4293" w:rsidP="00FA4293">
      <w:pPr>
        <w:pStyle w:val="Testua"/>
      </w:pPr>
      <w:r w:rsidRPr="00306D0C">
        <w:t>The heat, generated by the processes described above, flows through the battery materials by conduction. The corresponding heat flow (</w:t>
      </w:r>
      <m:oMath>
        <m:sSub>
          <m:sSubPr>
            <m:ctrlPr>
              <w:rPr>
                <w:rFonts w:ascii="Cambria Math" w:hAnsi="Cambria Math"/>
                <w:i/>
              </w:rPr>
            </m:ctrlPr>
          </m:sSubPr>
          <m:e>
            <m:r>
              <w:rPr>
                <w:rFonts w:ascii="Cambria Math" w:hAnsi="Cambria Math"/>
              </w:rPr>
              <m:t>q</m:t>
            </m:r>
          </m:e>
          <m:sub>
            <m:r>
              <w:rPr>
                <w:rFonts w:ascii="Cambria Math" w:hAnsi="Cambria Math"/>
              </w:rPr>
              <m:t>cond</m:t>
            </m:r>
          </m:sub>
        </m:sSub>
      </m:oMath>
      <w:r w:rsidRPr="00306D0C">
        <w:rPr>
          <w:rFonts w:eastAsiaTheme="minorEastAsia"/>
        </w:rPr>
        <w:t>)</w:t>
      </w:r>
      <w:r w:rsidRPr="00306D0C">
        <w:t xml:space="preserve"> in the materials resulting from thermal conduction is a function of the location in the module.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610"/>
      </w:tblGrid>
      <w:tr w:rsidR="00FA4293" w14:paraId="65E54939" w14:textId="77777777" w:rsidTr="006C0843">
        <w:tc>
          <w:tcPr>
            <w:tcW w:w="8784" w:type="dxa"/>
            <w:vAlign w:val="center"/>
          </w:tcPr>
          <w:p w14:paraId="1B05F38D" w14:textId="60FE281A" w:rsidR="00FA4293" w:rsidRDefault="00FA4293" w:rsidP="006C0843">
            <w:pPr>
              <w:pStyle w:val="Testua"/>
              <w:jc w:val="center"/>
            </w:pPr>
            <m:oMathPara>
              <m:oMath>
                <m:sSub>
                  <m:sSubPr>
                    <m:ctrlPr>
                      <w:rPr>
                        <w:rFonts w:ascii="Cambria Math" w:hAnsi="Cambria Math"/>
                      </w:rPr>
                    </m:ctrlPr>
                  </m:sSubPr>
                  <m:e>
                    <m:r>
                      <w:rPr>
                        <w:rFonts w:ascii="Cambria Math" w:hAnsi="Cambria Math"/>
                      </w:rPr>
                      <m:t>q</m:t>
                    </m:r>
                  </m:e>
                  <m:sub>
                    <m:r>
                      <w:rPr>
                        <w:rFonts w:ascii="Cambria Math" w:hAnsi="Cambria Math"/>
                      </w:rPr>
                      <m:t>cond</m:t>
                    </m:r>
                  </m:sub>
                </m:sSub>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x</m:t>
                    </m:r>
                  </m:sub>
                </m:sSub>
                <m:r>
                  <w:rPr>
                    <w:rFonts w:ascii="Cambria Math" w:hAnsi="Cambria Math"/>
                  </w:rPr>
                  <m:t>A</m:t>
                </m:r>
                <m:f>
                  <m:fPr>
                    <m:ctrlPr>
                      <w:rPr>
                        <w:rFonts w:ascii="Cambria Math" w:hAnsi="Cambria Math"/>
                      </w:rPr>
                    </m:ctrlPr>
                  </m:fPr>
                  <m:num>
                    <m:r>
                      <m:rPr>
                        <m:sty m:val="p"/>
                      </m:rPr>
                      <w:rPr>
                        <w:rFonts w:ascii="Cambria Math" w:hAnsi="Cambria Math"/>
                      </w:rPr>
                      <m:t>∆</m:t>
                    </m:r>
                    <m:r>
                      <w:rPr>
                        <w:rFonts w:ascii="Cambria Math" w:hAnsi="Cambria Math"/>
                      </w:rPr>
                      <m:t>T</m:t>
                    </m:r>
                  </m:num>
                  <m:den>
                    <m:r>
                      <m:rPr>
                        <m:sty m:val="p"/>
                      </m:rPr>
                      <w:rPr>
                        <w:rFonts w:ascii="Cambria Math" w:hAnsi="Cambria Math"/>
                      </w:rPr>
                      <m:t>∆</m:t>
                    </m:r>
                    <m:r>
                      <w:rPr>
                        <w:rFonts w:ascii="Cambria Math" w:hAnsi="Cambria Math"/>
                      </w:rPr>
                      <m:t>x</m:t>
                    </m:r>
                  </m:den>
                </m:f>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y</m:t>
                    </m:r>
                  </m:sub>
                </m:sSub>
                <m:r>
                  <w:rPr>
                    <w:rFonts w:ascii="Cambria Math" w:hAnsi="Cambria Math"/>
                  </w:rPr>
                  <m:t>A</m:t>
                </m:r>
                <m:f>
                  <m:fPr>
                    <m:ctrlPr>
                      <w:rPr>
                        <w:rFonts w:ascii="Cambria Math" w:hAnsi="Cambria Math"/>
                      </w:rPr>
                    </m:ctrlPr>
                  </m:fPr>
                  <m:num>
                    <m:r>
                      <m:rPr>
                        <m:sty m:val="p"/>
                      </m:rPr>
                      <w:rPr>
                        <w:rFonts w:ascii="Cambria Math" w:hAnsi="Cambria Math"/>
                      </w:rPr>
                      <m:t>∆</m:t>
                    </m:r>
                    <m:r>
                      <w:rPr>
                        <w:rFonts w:ascii="Cambria Math" w:hAnsi="Cambria Math"/>
                      </w:rPr>
                      <m:t>T</m:t>
                    </m:r>
                  </m:num>
                  <m:den>
                    <m:r>
                      <m:rPr>
                        <m:sty m:val="p"/>
                      </m:rPr>
                      <w:rPr>
                        <w:rFonts w:ascii="Cambria Math" w:hAnsi="Cambria Math"/>
                      </w:rPr>
                      <m:t>∆</m:t>
                    </m:r>
                    <m:r>
                      <w:rPr>
                        <w:rFonts w:ascii="Cambria Math" w:hAnsi="Cambria Math"/>
                      </w:rPr>
                      <m:t>y</m:t>
                    </m:r>
                  </m:den>
                </m:f>
                <m:r>
                  <m:rPr>
                    <m:sty m:val="p"/>
                  </m:rPr>
                  <w:rPr>
                    <w:rFonts w:ascii="Cambria Math" w:hAnsi="Cambria Math"/>
                  </w:rPr>
                  <m:t>+</m:t>
                </m:r>
                <m:sSub>
                  <m:sSubPr>
                    <m:ctrlPr>
                      <w:rPr>
                        <w:rFonts w:ascii="Cambria Math" w:hAnsi="Cambria Math"/>
                      </w:rPr>
                    </m:ctrlPr>
                  </m:sSubPr>
                  <m:e>
                    <m:r>
                      <w:rPr>
                        <w:rFonts w:ascii="Cambria Math" w:hAnsi="Cambria Math"/>
                      </w:rPr>
                      <m:t>k</m:t>
                    </m:r>
                  </m:e>
                  <m:sub>
                    <m:r>
                      <w:rPr>
                        <w:rFonts w:ascii="Cambria Math" w:hAnsi="Cambria Math"/>
                      </w:rPr>
                      <m:t>z</m:t>
                    </m:r>
                  </m:sub>
                </m:sSub>
                <m:r>
                  <w:rPr>
                    <w:rFonts w:ascii="Cambria Math" w:hAnsi="Cambria Math"/>
                  </w:rPr>
                  <m:t>A</m:t>
                </m:r>
                <m:f>
                  <m:fPr>
                    <m:ctrlPr>
                      <w:rPr>
                        <w:rFonts w:ascii="Cambria Math" w:hAnsi="Cambria Math"/>
                      </w:rPr>
                    </m:ctrlPr>
                  </m:fPr>
                  <m:num>
                    <m:r>
                      <m:rPr>
                        <m:sty m:val="p"/>
                      </m:rPr>
                      <w:rPr>
                        <w:rFonts w:ascii="Cambria Math" w:hAnsi="Cambria Math"/>
                      </w:rPr>
                      <m:t>∆</m:t>
                    </m:r>
                    <m:r>
                      <w:rPr>
                        <w:rFonts w:ascii="Cambria Math" w:hAnsi="Cambria Math"/>
                      </w:rPr>
                      <m:t>T</m:t>
                    </m:r>
                  </m:num>
                  <m:den>
                    <m:r>
                      <m:rPr>
                        <m:sty m:val="p"/>
                      </m:rPr>
                      <w:rPr>
                        <w:rFonts w:ascii="Cambria Math" w:hAnsi="Cambria Math"/>
                      </w:rPr>
                      <m:t>∆</m:t>
                    </m:r>
                    <m:r>
                      <w:rPr>
                        <w:rFonts w:ascii="Cambria Math" w:hAnsi="Cambria Math"/>
                      </w:rPr>
                      <m:t>z</m:t>
                    </m:r>
                  </m:den>
                </m:f>
              </m:oMath>
            </m:oMathPara>
          </w:p>
        </w:tc>
        <w:tc>
          <w:tcPr>
            <w:tcW w:w="610" w:type="dxa"/>
          </w:tcPr>
          <w:p w14:paraId="4E5D21C4" w14:textId="05AFB2A0" w:rsidR="00FA4293" w:rsidRDefault="00FA4293" w:rsidP="006C0843">
            <w:pPr>
              <w:pStyle w:val="Testua"/>
              <w:jc w:val="right"/>
            </w:pPr>
            <w:r>
              <w:t>(</w:t>
            </w:r>
            <w:r w:rsidR="00D365A6">
              <w:t>5</w:t>
            </w:r>
            <w:r>
              <w:t>)</w:t>
            </w:r>
          </w:p>
        </w:tc>
      </w:tr>
    </w:tbl>
    <w:p w14:paraId="248D1AA1" w14:textId="1443736F" w:rsidR="00FA4293" w:rsidRPr="00306D0C" w:rsidRDefault="00FA4293" w:rsidP="00FA4293">
      <w:pPr>
        <w:pStyle w:val="Testua"/>
      </w:pPr>
      <w:r w:rsidRPr="00306D0C">
        <w:t xml:space="preserve">where, </w:t>
      </w:r>
      <m:oMath>
        <m:r>
          <w:rPr>
            <w:rFonts w:ascii="Cambria Math" w:hAnsi="Cambria Math"/>
          </w:rPr>
          <m:t>k=k (x,y,z)</m:t>
        </m:r>
      </m:oMath>
      <w:r w:rsidRPr="00306D0C">
        <w:t xml:space="preserve"> is the coefficient of thermal conduction expressed in </w:t>
      </w:r>
      <m:oMath>
        <m:d>
          <m:dPr>
            <m:begChr m:val="["/>
            <m:endChr m:val="]"/>
            <m:ctrlPr>
              <w:rPr>
                <w:rFonts w:ascii="Cambria Math" w:hAnsi="Cambria Math"/>
                <w:i/>
              </w:rPr>
            </m:ctrlPr>
          </m:dPr>
          <m:e>
            <m:f>
              <m:fPr>
                <m:ctrlPr>
                  <w:rPr>
                    <w:rFonts w:ascii="Cambria Math" w:hAnsi="Cambria Math"/>
                    <w:i/>
                  </w:rPr>
                </m:ctrlPr>
              </m:fPr>
              <m:num>
                <m:r>
                  <w:rPr>
                    <w:rFonts w:ascii="Cambria Math" w:hAnsi="Cambria Math"/>
                  </w:rPr>
                  <m:t>W</m:t>
                </m:r>
              </m:num>
              <m:den>
                <m:r>
                  <w:rPr>
                    <w:rFonts w:ascii="Cambria Math" w:hAnsi="Cambria Math"/>
                  </w:rPr>
                  <m:t>m·k</m:t>
                </m:r>
              </m:den>
            </m:f>
          </m:e>
        </m:d>
      </m:oMath>
      <w:r w:rsidRPr="00306D0C">
        <w:t xml:space="preserve">, describing a specific property of each material used to characterise the heat transport in stationary rate </w:t>
      </w:r>
      <w:r w:rsidRPr="00306D0C">
        <w:fldChar w:fldCharType="begin" w:fldLock="1"/>
      </w:r>
      <w:r w:rsidR="00D722F4">
        <w:instrText>ADDIN CSL_CITATION {"citationItems":[{"id":"ITEM-1","itemData":{"DOI":"10.1016/j.jpowsour.2017.07.105","author":[{"dropping-particle":"","family":"Becker","given":"Dominic J","non-dropping-particle":"","parse-names":false,"suffix":""},{"dropping-particle":"","family":"Wetzel","given":"Thomas","non-dropping-particle":"","parse-names":false,"suffix":""},{"dropping-particle":"","family":"Werner","given":"Daniel","non-dropping-particle":"","parse-names":false,"suffix":""}],"id":"ITEM-1","issued":{"date-parts":[["2017"]]},"page":"72-83","title":"Thermal conductivity of Li-ion batteries and their electrode con fi gurations e A novel combination of modelling and experimental approach","type":"article-journal","volume":"364"},"uris":["http://www.mendeley.com/documents/?uuid=21bb2d8f-1ebe-4a7f-b506-968da718bda1"]}],"mendeley":{"formattedCitation":"[10]","plainTextFormattedCitation":"[10]","previouslyFormattedCitation":"[9]"},"properties":{"noteIndex":0},"schema":"https://github.com/citation-style-language/schema/raw/master/csl-citation.json"}</w:instrText>
      </w:r>
      <w:r w:rsidRPr="00306D0C">
        <w:fldChar w:fldCharType="separate"/>
      </w:r>
      <w:r w:rsidR="00D722F4" w:rsidRPr="00D722F4">
        <w:rPr>
          <w:noProof/>
        </w:rPr>
        <w:t>[10]</w:t>
      </w:r>
      <w:r w:rsidRPr="00306D0C">
        <w:fldChar w:fldCharType="end"/>
      </w:r>
      <w:r w:rsidRPr="00306D0C">
        <w:t xml:space="preserve">; </w:t>
      </w:r>
      <m:oMath>
        <m:r>
          <w:rPr>
            <w:rFonts w:ascii="Cambria Math" w:hAnsi="Cambria Math"/>
          </w:rPr>
          <m:t>A</m:t>
        </m:r>
      </m:oMath>
      <w:r w:rsidRPr="00306D0C">
        <w:t xml:space="preserve"> is the area through which heat flows perpendicularly at a stationary rate expressed in [</w:t>
      </w:r>
      <m:oMath>
        <m:sSup>
          <m:sSupPr>
            <m:ctrlPr>
              <w:rPr>
                <w:rFonts w:ascii="Cambria Math" w:hAnsi="Cambria Math"/>
                <w:i/>
              </w:rPr>
            </m:ctrlPr>
          </m:sSupPr>
          <m:e>
            <m:r>
              <w:rPr>
                <w:rFonts w:ascii="Cambria Math" w:hAnsi="Cambria Math"/>
              </w:rPr>
              <m:t>m</m:t>
            </m:r>
          </m:e>
          <m:sup>
            <m:r>
              <w:rPr>
                <w:rFonts w:ascii="Cambria Math" w:hAnsi="Cambria Math"/>
              </w:rPr>
              <m:t>2</m:t>
            </m:r>
          </m:sup>
        </m:sSup>
      </m:oMath>
      <w:r w:rsidRPr="00306D0C">
        <w:t xml:space="preserve">]; and </w:t>
      </w:r>
      <m:oMath>
        <m:f>
          <m:fPr>
            <m:ctrlPr>
              <w:rPr>
                <w:rFonts w:ascii="Cambria Math" w:hAnsi="Cambria Math"/>
                <w:i/>
              </w:rPr>
            </m:ctrlPr>
          </m:fPr>
          <m:num>
            <m:r>
              <w:rPr>
                <w:rFonts w:ascii="Cambria Math" w:hAnsi="Cambria Math"/>
              </w:rPr>
              <m:t>∆T</m:t>
            </m:r>
          </m:num>
          <m:den>
            <m:r>
              <w:rPr>
                <w:rFonts w:ascii="Cambria Math" w:hAnsi="Cambria Math"/>
              </w:rPr>
              <m:t>∆x</m:t>
            </m:r>
          </m:den>
        </m:f>
      </m:oMath>
      <w:r w:rsidRPr="00306D0C">
        <w:t xml:space="preserve"> is the temperature gradient in [</w:t>
      </w:r>
      <m:oMath>
        <m:r>
          <w:rPr>
            <w:rFonts w:ascii="Cambria Math" w:hAnsi="Cambria Math"/>
          </w:rPr>
          <m:t>K</m:t>
        </m:r>
      </m:oMath>
      <w:r w:rsidRPr="00306D0C">
        <w:t>] in x direction.</w:t>
      </w:r>
    </w:p>
    <w:p w14:paraId="544362F6" w14:textId="601052EA" w:rsidR="00FA4293" w:rsidRDefault="00FA4293" w:rsidP="00FA4293">
      <w:pPr>
        <w:pStyle w:val="Testua"/>
        <w:rPr>
          <w:rFonts w:eastAsiaTheme="minorEastAsia"/>
        </w:rPr>
      </w:pPr>
      <w:r w:rsidRPr="00306D0C">
        <w:t>This heat transferred to the cell surface is then dissipated by convection (</w:t>
      </w:r>
      <m:oMath>
        <m:sSub>
          <m:sSubPr>
            <m:ctrlPr>
              <w:rPr>
                <w:rFonts w:ascii="Cambria Math" w:hAnsi="Cambria Math"/>
                <w:i/>
              </w:rPr>
            </m:ctrlPr>
          </m:sSubPr>
          <m:e>
            <m:r>
              <w:rPr>
                <w:rFonts w:ascii="Cambria Math" w:hAnsi="Cambria Math"/>
              </w:rPr>
              <m:t>Q</m:t>
            </m:r>
          </m:e>
          <m:sub>
            <m:r>
              <w:rPr>
                <w:rFonts w:ascii="Cambria Math" w:hAnsi="Cambria Math"/>
              </w:rPr>
              <m:t>cv,i</m:t>
            </m:r>
          </m:sub>
        </m:sSub>
      </m:oMath>
      <w:r w:rsidRPr="00306D0C">
        <w:t>) and radiation (</w:t>
      </w:r>
      <m:oMath>
        <m:sSub>
          <m:sSubPr>
            <m:ctrlPr>
              <w:rPr>
                <w:rFonts w:ascii="Cambria Math" w:hAnsi="Cambria Math"/>
                <w:i/>
              </w:rPr>
            </m:ctrlPr>
          </m:sSubPr>
          <m:e>
            <m:r>
              <w:rPr>
                <w:rFonts w:ascii="Cambria Math" w:hAnsi="Cambria Math"/>
              </w:rPr>
              <m:t>Q</m:t>
            </m:r>
          </m:e>
          <m:sub>
            <m:r>
              <w:rPr>
                <w:rFonts w:ascii="Cambria Math" w:hAnsi="Cambria Math"/>
              </w:rPr>
              <m:t>rd,i</m:t>
            </m:r>
          </m:sub>
        </m:sSub>
      </m:oMath>
      <w:r w:rsidRPr="00306D0C">
        <w:t xml:space="preserve">). In this work, convection occurs naturally and the temperature change comes from the difference in density inside the fluid (i.e. air). </w:t>
      </w:r>
      <w:r w:rsidRPr="00306D0C">
        <w:rPr>
          <w:rFonts w:eastAsiaTheme="minorEastAsia"/>
        </w:rPr>
        <w:t xml:space="preserve">The amount of heat transferred by convection is expressed in equation </w:t>
      </w:r>
      <w:r w:rsidRPr="00306D0C">
        <w:rPr>
          <w:rFonts w:eastAsiaTheme="minorEastAsia"/>
        </w:rPr>
        <w:fldChar w:fldCharType="begin"/>
      </w:r>
      <w:r w:rsidRPr="00306D0C">
        <w:rPr>
          <w:rFonts w:eastAsiaTheme="minorEastAsia"/>
        </w:rPr>
        <w:instrText xml:space="preserve"> REF _Ref53672308 \h  \* MERGEFORMAT </w:instrText>
      </w:r>
      <w:r w:rsidRPr="00306D0C">
        <w:rPr>
          <w:rFonts w:eastAsiaTheme="minorEastAsia"/>
        </w:rPr>
      </w:r>
      <w:r w:rsidRPr="00306D0C">
        <w:rPr>
          <w:rFonts w:eastAsiaTheme="minorEastAsia"/>
        </w:rPr>
        <w:fldChar w:fldCharType="separate"/>
      </w:r>
      <w:r w:rsidRPr="00306D0C">
        <w:t>(</w:t>
      </w:r>
      <w:r w:rsidRPr="00306D0C">
        <w:rPr>
          <w:noProof/>
        </w:rPr>
        <w:t>3</w:t>
      </w:r>
      <w:r w:rsidRPr="00306D0C">
        <w:t>)</w:t>
      </w:r>
      <w:r w:rsidRPr="00306D0C">
        <w:rPr>
          <w:rFonts w:eastAsiaTheme="minorEastAsia"/>
        </w:rPr>
        <w:fldChar w:fldCharType="end"/>
      </w:r>
      <w:r w:rsidRPr="00306D0C">
        <w:rPr>
          <w:rFonts w:eastAsiaTheme="minorEastAsia"/>
        </w:rPr>
        <w:t>.</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610"/>
      </w:tblGrid>
      <w:tr w:rsidR="00FA4293" w14:paraId="64E7DD9A" w14:textId="77777777" w:rsidTr="006C0843">
        <w:tc>
          <w:tcPr>
            <w:tcW w:w="8784" w:type="dxa"/>
            <w:vAlign w:val="center"/>
          </w:tcPr>
          <w:p w14:paraId="761ADF04" w14:textId="1068A7B7" w:rsidR="00FA4293" w:rsidRDefault="00FA4293" w:rsidP="006C0843">
            <w:pPr>
              <w:pStyle w:val="Testua"/>
              <w:jc w:val="center"/>
            </w:pPr>
            <m:oMathPara>
              <m:oMath>
                <m:sSub>
                  <m:sSubPr>
                    <m:ctrlPr>
                      <w:rPr>
                        <w:rFonts w:ascii="Cambria Math" w:hAnsi="Cambria Math"/>
                      </w:rPr>
                    </m:ctrlPr>
                  </m:sSubPr>
                  <m:e>
                    <m:r>
                      <w:rPr>
                        <w:rFonts w:ascii="Cambria Math" w:hAnsi="Cambria Math"/>
                      </w:rPr>
                      <m:t>q</m:t>
                    </m:r>
                  </m:e>
                  <m:sub>
                    <m:r>
                      <w:rPr>
                        <w:rFonts w:ascii="Cambria Math" w:hAnsi="Cambria Math"/>
                      </w:rPr>
                      <m:t>conv</m:t>
                    </m:r>
                  </m:sub>
                </m:sSub>
                <m:r>
                  <m:rPr>
                    <m:sty m:val="p"/>
                  </m:rPr>
                  <w:rPr>
                    <w:rFonts w:ascii="Cambria Math" w:hAnsi="Cambria Math"/>
                  </w:rPr>
                  <m:t>=</m:t>
                </m:r>
                <m:r>
                  <w:rPr>
                    <w:rFonts w:ascii="Cambria Math" w:hAnsi="Cambria Math"/>
                  </w:rPr>
                  <m:t>hA</m:t>
                </m:r>
                <m:r>
                  <m:rPr>
                    <m:sty m:val="p"/>
                  </m:rPr>
                  <w:rPr>
                    <w:rFonts w:ascii="Cambria Math" w:hAnsi="Cambria Math"/>
                  </w:rPr>
                  <m:t>∆</m:t>
                </m:r>
                <m:r>
                  <w:rPr>
                    <w:rFonts w:ascii="Cambria Math" w:hAnsi="Cambria Math"/>
                  </w:rPr>
                  <m:t>T</m:t>
                </m:r>
              </m:oMath>
            </m:oMathPara>
          </w:p>
        </w:tc>
        <w:tc>
          <w:tcPr>
            <w:tcW w:w="610" w:type="dxa"/>
          </w:tcPr>
          <w:p w14:paraId="7FEA91CA" w14:textId="387D4AD2" w:rsidR="00FA4293" w:rsidRDefault="00FA4293" w:rsidP="006C0843">
            <w:pPr>
              <w:pStyle w:val="Testua"/>
              <w:jc w:val="right"/>
            </w:pPr>
            <w:r>
              <w:t>(</w:t>
            </w:r>
            <w:r w:rsidR="00D365A6">
              <w:t>6</w:t>
            </w:r>
            <w:r>
              <w:t>)</w:t>
            </w:r>
          </w:p>
        </w:tc>
      </w:tr>
    </w:tbl>
    <w:p w14:paraId="63EC6226" w14:textId="0E8814C1" w:rsidR="00FA4293" w:rsidRPr="00306D0C" w:rsidRDefault="00FA4293" w:rsidP="00FA4293">
      <w:pPr>
        <w:pStyle w:val="Testua"/>
      </w:pPr>
      <w:r w:rsidRPr="00306D0C">
        <w:t xml:space="preserve">where, </w:t>
      </w:r>
      <m:oMath>
        <m:r>
          <w:rPr>
            <w:rFonts w:ascii="Cambria Math" w:hAnsi="Cambria Math"/>
          </w:rPr>
          <m:t>h</m:t>
        </m:r>
      </m:oMath>
      <w:r w:rsidRPr="00306D0C">
        <w:t xml:space="preserve"> is the transfer coefficient of thermal convection expressed in </w:t>
      </w:r>
      <m:oMath>
        <m:d>
          <m:dPr>
            <m:begChr m:val="["/>
            <m:endChr m:val="]"/>
            <m:ctrlPr>
              <w:rPr>
                <w:rFonts w:ascii="Cambria Math" w:hAnsi="Cambria Math"/>
                <w:i/>
              </w:rPr>
            </m:ctrlPr>
          </m:dPr>
          <m:e>
            <m:f>
              <m:fPr>
                <m:ctrlPr>
                  <w:rPr>
                    <w:rFonts w:ascii="Cambria Math" w:hAnsi="Cambria Math"/>
                    <w:i/>
                  </w:rPr>
                </m:ctrlPr>
              </m:fPr>
              <m:num>
                <m:r>
                  <w:rPr>
                    <w:rFonts w:ascii="Cambria Math" w:hAnsi="Cambria Math"/>
                  </w:rPr>
                  <m:t>W</m:t>
                </m:r>
              </m:num>
              <m:den>
                <m:sSup>
                  <m:sSupPr>
                    <m:ctrlPr>
                      <w:rPr>
                        <w:rFonts w:ascii="Cambria Math" w:hAnsi="Cambria Math"/>
                        <w:i/>
                      </w:rPr>
                    </m:ctrlPr>
                  </m:sSupPr>
                  <m:e>
                    <m:r>
                      <w:rPr>
                        <w:rFonts w:ascii="Cambria Math" w:hAnsi="Cambria Math"/>
                      </w:rPr>
                      <m:t>m</m:t>
                    </m:r>
                  </m:e>
                  <m:sup>
                    <m:r>
                      <w:rPr>
                        <w:rFonts w:ascii="Cambria Math" w:hAnsi="Cambria Math"/>
                      </w:rPr>
                      <m:t>2</m:t>
                    </m:r>
                  </m:sup>
                </m:sSup>
                <m:r>
                  <w:rPr>
                    <w:rFonts w:ascii="Cambria Math" w:hAnsi="Cambria Math"/>
                  </w:rPr>
                  <m:t>k</m:t>
                </m:r>
              </m:den>
            </m:f>
          </m:e>
        </m:d>
      </m:oMath>
      <w:r w:rsidRPr="00306D0C">
        <w:t xml:space="preserve">, describing </w:t>
      </w:r>
      <w:r w:rsidR="003077CC" w:rsidRPr="00306D0C">
        <w:t>a specific</w:t>
      </w:r>
      <w:r w:rsidRPr="00306D0C">
        <w:t xml:space="preserve"> property of the fluid flow and depends on several factors such as natural or forced convection, location, geometry, surface roughness and the medium surrounding the battery expressed in </w:t>
      </w:r>
      <m:oMath>
        <m:d>
          <m:dPr>
            <m:begChr m:val="["/>
            <m:endChr m:val="]"/>
            <m:ctrlPr>
              <w:rPr>
                <w:rFonts w:ascii="Cambria Math" w:hAnsi="Cambria Math"/>
                <w:i/>
              </w:rPr>
            </m:ctrlPr>
          </m:dPr>
          <m:e>
            <m:sSup>
              <m:sSupPr>
                <m:ctrlPr>
                  <w:rPr>
                    <w:rFonts w:ascii="Cambria Math" w:hAnsi="Cambria Math"/>
                    <w:i/>
                  </w:rPr>
                </m:ctrlPr>
              </m:sSupPr>
              <m:e>
                <m:r>
                  <w:rPr>
                    <w:rFonts w:ascii="Cambria Math" w:hAnsi="Cambria Math"/>
                  </w:rPr>
                  <m:t>m</m:t>
                </m:r>
              </m:e>
              <m:sup>
                <m:r>
                  <w:rPr>
                    <w:rFonts w:ascii="Cambria Math" w:hAnsi="Cambria Math"/>
                  </w:rPr>
                  <m:t>2</m:t>
                </m:r>
              </m:sup>
            </m:sSup>
          </m:e>
        </m:d>
      </m:oMath>
      <w:r w:rsidRPr="00306D0C">
        <w:t xml:space="preserve">; and </w:t>
      </w:r>
      <m:oMath>
        <m:r>
          <w:rPr>
            <w:rFonts w:ascii="Cambria Math" w:hAnsi="Cambria Math"/>
          </w:rPr>
          <m:t>∆T</m:t>
        </m:r>
      </m:oMath>
      <w:r w:rsidRPr="00306D0C">
        <w:t xml:space="preserve"> is the difference in temperature between the surface of the solid and the fluid expressed in.</w:t>
      </w:r>
    </w:p>
    <w:p w14:paraId="7E7E4376" w14:textId="0BB13ED6" w:rsidR="00FA4293" w:rsidRDefault="00FA4293" w:rsidP="00FA4293">
      <w:pPr>
        <w:pStyle w:val="Testua"/>
      </w:pPr>
      <w:r w:rsidRPr="00306D0C">
        <w:t>On the other hand, heat transfer by radiation (</w:t>
      </w:r>
      <m:oMath>
        <m:sSub>
          <m:sSubPr>
            <m:ctrlPr>
              <w:rPr>
                <w:rFonts w:ascii="Cambria Math" w:hAnsi="Cambria Math"/>
                <w:i/>
              </w:rPr>
            </m:ctrlPr>
          </m:sSubPr>
          <m:e>
            <m:r>
              <w:rPr>
                <w:rFonts w:ascii="Cambria Math" w:hAnsi="Cambria Math"/>
              </w:rPr>
              <m:t>q</m:t>
            </m:r>
          </m:e>
          <m:sub>
            <m:r>
              <w:rPr>
                <w:rFonts w:ascii="Cambria Math" w:hAnsi="Cambria Math"/>
              </w:rPr>
              <m:t>rad</m:t>
            </m:r>
          </m:sub>
        </m:sSub>
      </m:oMath>
      <w:r w:rsidRPr="00306D0C">
        <w:t xml:space="preserve">) between two grey bodies is calculated by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610"/>
      </w:tblGrid>
      <w:tr w:rsidR="00FA4293" w14:paraId="11AB0B92" w14:textId="77777777" w:rsidTr="006C0843">
        <w:tc>
          <w:tcPr>
            <w:tcW w:w="8784" w:type="dxa"/>
            <w:vAlign w:val="center"/>
          </w:tcPr>
          <w:p w14:paraId="347B15F5" w14:textId="1E6B1477" w:rsidR="00FA4293" w:rsidRDefault="00FA4293" w:rsidP="006C0843">
            <w:pPr>
              <w:pStyle w:val="Testua"/>
              <w:jc w:val="center"/>
            </w:pPr>
            <m:oMathPara>
              <m:oMath>
                <m:sSub>
                  <m:sSubPr>
                    <m:ctrlPr>
                      <w:rPr>
                        <w:rFonts w:ascii="Cambria Math" w:hAnsi="Cambria Math"/>
                      </w:rPr>
                    </m:ctrlPr>
                  </m:sSubPr>
                  <m:e>
                    <m:r>
                      <w:rPr>
                        <w:rFonts w:ascii="Cambria Math" w:hAnsi="Cambria Math"/>
                      </w:rPr>
                      <m:t>q</m:t>
                    </m:r>
                  </m:e>
                  <m:sub>
                    <m:r>
                      <w:rPr>
                        <w:rFonts w:ascii="Cambria Math" w:hAnsi="Cambria Math"/>
                      </w:rPr>
                      <m:t>rad</m:t>
                    </m:r>
                  </m:sub>
                </m:sSub>
                <m:r>
                  <m:rPr>
                    <m:sty m:val="p"/>
                  </m:rPr>
                  <w:rPr>
                    <w:rFonts w:ascii="Cambria Math" w:hAnsi="Cambria Math"/>
                  </w:rPr>
                  <m:t>=</m:t>
                </m:r>
                <m:r>
                  <w:rPr>
                    <w:rFonts w:ascii="Cambria Math" w:hAnsi="Cambria Math"/>
                  </w:rPr>
                  <m:t>εσA</m:t>
                </m:r>
                <m:d>
                  <m:dPr>
                    <m:ctrlPr>
                      <w:rPr>
                        <w:rFonts w:ascii="Cambria Math" w:hAnsi="Cambria Math"/>
                      </w:rPr>
                    </m:ctrlPr>
                  </m:dPr>
                  <m:e>
                    <m:sSup>
                      <m:sSupPr>
                        <m:ctrlPr>
                          <w:rPr>
                            <w:rFonts w:ascii="Cambria Math" w:hAnsi="Cambria Math"/>
                          </w:rPr>
                        </m:ctrlPr>
                      </m:sSupPr>
                      <m:e>
                        <m:sSub>
                          <m:sSubPr>
                            <m:ctrlPr>
                              <w:rPr>
                                <w:rFonts w:ascii="Cambria Math" w:hAnsi="Cambria Math"/>
                              </w:rPr>
                            </m:ctrlPr>
                          </m:sSubPr>
                          <m:e>
                            <m:r>
                              <w:rPr>
                                <w:rFonts w:ascii="Cambria Math" w:hAnsi="Cambria Math"/>
                              </w:rPr>
                              <m:t>T</m:t>
                            </m:r>
                          </m:e>
                          <m:sub>
                            <m:r>
                              <w:rPr>
                                <w:rFonts w:ascii="Cambria Math" w:hAnsi="Cambria Math"/>
                              </w:rPr>
                              <m:t>s</m:t>
                            </m:r>
                          </m:sub>
                        </m:sSub>
                      </m:e>
                      <m:sup>
                        <m:r>
                          <m:rPr>
                            <m:sty m:val="p"/>
                          </m:rPr>
                          <w:rPr>
                            <w:rFonts w:ascii="Cambria Math" w:hAnsi="Cambria Math"/>
                          </w:rPr>
                          <m:t>4</m:t>
                        </m:r>
                      </m:sup>
                    </m:sSup>
                    <m:r>
                      <m:rPr>
                        <m:sty m:val="p"/>
                      </m:rPr>
                      <w:rPr>
                        <w:rFonts w:ascii="Cambria Math" w:hAnsi="Cambria Math"/>
                      </w:rPr>
                      <m:t>-</m:t>
                    </m:r>
                    <m:sSup>
                      <m:sSupPr>
                        <m:ctrlPr>
                          <w:rPr>
                            <w:rFonts w:ascii="Cambria Math" w:hAnsi="Cambria Math"/>
                          </w:rPr>
                        </m:ctrlPr>
                      </m:sSupPr>
                      <m:e>
                        <m:sSub>
                          <m:sSubPr>
                            <m:ctrlPr>
                              <w:rPr>
                                <w:rFonts w:ascii="Cambria Math" w:hAnsi="Cambria Math"/>
                              </w:rPr>
                            </m:ctrlPr>
                          </m:sSubPr>
                          <m:e>
                            <m:r>
                              <w:rPr>
                                <w:rFonts w:ascii="Cambria Math" w:hAnsi="Cambria Math"/>
                              </w:rPr>
                              <m:t>T</m:t>
                            </m:r>
                          </m:e>
                          <m:sub>
                            <m:r>
                              <w:rPr>
                                <w:rFonts w:ascii="Cambria Math" w:hAnsi="Cambria Math"/>
                              </w:rPr>
                              <m:t>e</m:t>
                            </m:r>
                          </m:sub>
                        </m:sSub>
                      </m:e>
                      <m:sup>
                        <m:r>
                          <m:rPr>
                            <m:sty m:val="p"/>
                          </m:rPr>
                          <w:rPr>
                            <w:rFonts w:ascii="Cambria Math" w:hAnsi="Cambria Math"/>
                          </w:rPr>
                          <m:t>4</m:t>
                        </m:r>
                      </m:sup>
                    </m:sSup>
                  </m:e>
                </m:d>
              </m:oMath>
            </m:oMathPara>
          </w:p>
        </w:tc>
        <w:tc>
          <w:tcPr>
            <w:tcW w:w="610" w:type="dxa"/>
          </w:tcPr>
          <w:p w14:paraId="710616F1" w14:textId="70E5ED4F" w:rsidR="00FA4293" w:rsidRDefault="00FA4293" w:rsidP="006C0843">
            <w:pPr>
              <w:pStyle w:val="Testua"/>
              <w:jc w:val="right"/>
            </w:pPr>
            <w:r>
              <w:t>(</w:t>
            </w:r>
            <w:r w:rsidR="00D365A6">
              <w:t>7</w:t>
            </w:r>
            <w:r>
              <w:t>)</w:t>
            </w:r>
          </w:p>
        </w:tc>
      </w:tr>
    </w:tbl>
    <w:p w14:paraId="73A54243" w14:textId="77777777" w:rsidR="00FA4293" w:rsidRPr="00306D0C" w:rsidRDefault="00FA4293" w:rsidP="00FA4293">
      <w:pPr>
        <w:pStyle w:val="Testua"/>
      </w:pPr>
      <w:r w:rsidRPr="00306D0C">
        <w:t xml:space="preserve">where, </w:t>
      </w:r>
      <m:oMath>
        <m:r>
          <w:rPr>
            <w:rFonts w:ascii="Cambria Math" w:hAnsi="Cambria Math"/>
          </w:rPr>
          <m:t>ε</m:t>
        </m:r>
      </m:oMath>
      <w:r w:rsidRPr="00306D0C">
        <w:t xml:space="preserve"> is the surface emissivity  of the considered specific material, being a dimensionless number (with a value between 0 and 1) and relates the ability of a body to radiate thermal heat; </w:t>
      </w:r>
      <m:oMath>
        <m:r>
          <w:rPr>
            <w:rFonts w:ascii="Cambria Math" w:hAnsi="Cambria Math"/>
          </w:rPr>
          <m:t>σ</m:t>
        </m:r>
      </m:oMath>
      <w:r w:rsidRPr="00306D0C">
        <w:t xml:space="preserve"> term is the Stefan-Boltzmann constant equivalent to </w:t>
      </w:r>
      <m:oMath>
        <m:r>
          <w:rPr>
            <w:rFonts w:ascii="Cambria Math" w:hAnsi="Cambria Math"/>
          </w:rPr>
          <m:t>5.67·</m:t>
        </m:r>
        <m:sSup>
          <m:sSupPr>
            <m:ctrlPr>
              <w:rPr>
                <w:rFonts w:ascii="Cambria Math" w:hAnsi="Cambria Math"/>
                <w:i/>
              </w:rPr>
            </m:ctrlPr>
          </m:sSupPr>
          <m:e>
            <m:r>
              <w:rPr>
                <w:rFonts w:ascii="Cambria Math" w:hAnsi="Cambria Math"/>
              </w:rPr>
              <m:t>10</m:t>
            </m:r>
          </m:e>
          <m:sup>
            <m:r>
              <w:rPr>
                <w:rFonts w:ascii="Cambria Math" w:hAnsi="Cambria Math"/>
              </w:rPr>
              <m:t>-8</m:t>
            </m:r>
          </m:sup>
        </m:sSup>
        <m:d>
          <m:dPr>
            <m:begChr m:val="["/>
            <m:endChr m:val="]"/>
            <m:ctrlPr>
              <w:rPr>
                <w:rFonts w:ascii="Cambria Math" w:hAnsi="Cambria Math"/>
                <w:i/>
              </w:rPr>
            </m:ctrlPr>
          </m:dPr>
          <m:e>
            <m:f>
              <m:fPr>
                <m:ctrlPr>
                  <w:rPr>
                    <w:rFonts w:ascii="Cambria Math" w:hAnsi="Cambria Math"/>
                    <w:i/>
                  </w:rPr>
                </m:ctrlPr>
              </m:fPr>
              <m:num>
                <m:r>
                  <w:rPr>
                    <w:rFonts w:ascii="Cambria Math" w:hAnsi="Cambria Math"/>
                  </w:rPr>
                  <m:t>W</m:t>
                </m:r>
              </m:num>
              <m:den>
                <m:sSup>
                  <m:sSupPr>
                    <m:ctrlPr>
                      <w:rPr>
                        <w:rFonts w:ascii="Cambria Math" w:hAnsi="Cambria Math"/>
                        <w:i/>
                      </w:rPr>
                    </m:ctrlPr>
                  </m:sSupPr>
                  <m:e>
                    <m:r>
                      <w:rPr>
                        <w:rFonts w:ascii="Cambria Math" w:hAnsi="Cambria Math"/>
                      </w:rPr>
                      <m:t>m</m:t>
                    </m:r>
                  </m:e>
                  <m:sup>
                    <m:r>
                      <w:rPr>
                        <w:rFonts w:ascii="Cambria Math" w:hAnsi="Cambria Math"/>
                      </w:rPr>
                      <m:t>2</m:t>
                    </m:r>
                  </m:sup>
                </m:sSup>
                <m:sSup>
                  <m:sSupPr>
                    <m:ctrlPr>
                      <w:rPr>
                        <w:rFonts w:ascii="Cambria Math" w:hAnsi="Cambria Math"/>
                        <w:i/>
                      </w:rPr>
                    </m:ctrlPr>
                  </m:sSupPr>
                  <m:e>
                    <m:r>
                      <w:rPr>
                        <w:rFonts w:ascii="Cambria Math" w:hAnsi="Cambria Math"/>
                      </w:rPr>
                      <m:t>K</m:t>
                    </m:r>
                  </m:e>
                  <m:sup>
                    <m:r>
                      <w:rPr>
                        <w:rFonts w:ascii="Cambria Math" w:hAnsi="Cambria Math"/>
                      </w:rPr>
                      <m:t>4</m:t>
                    </m:r>
                  </m:sup>
                </m:sSup>
              </m:den>
            </m:f>
          </m:e>
        </m:d>
      </m:oMath>
      <w:r w:rsidRPr="00306D0C">
        <w:t xml:space="preserve">; </w:t>
      </w:r>
      <m:oMath>
        <m:r>
          <w:rPr>
            <w:rFonts w:ascii="Cambria Math" w:hAnsi="Cambria Math"/>
          </w:rPr>
          <m:t>A</m:t>
        </m:r>
      </m:oMath>
      <w:r w:rsidRPr="00306D0C">
        <w:t xml:space="preserve"> is the surface area of the body expressed in </w:t>
      </w:r>
      <m:oMath>
        <m:d>
          <m:dPr>
            <m:begChr m:val="["/>
            <m:endChr m:val="]"/>
            <m:ctrlPr>
              <w:rPr>
                <w:rFonts w:ascii="Cambria Math" w:hAnsi="Cambria Math"/>
                <w:i/>
              </w:rPr>
            </m:ctrlPr>
          </m:dPr>
          <m:e>
            <m:sSup>
              <m:sSupPr>
                <m:ctrlPr>
                  <w:rPr>
                    <w:rFonts w:ascii="Cambria Math" w:hAnsi="Cambria Math"/>
                    <w:i/>
                  </w:rPr>
                </m:ctrlPr>
              </m:sSupPr>
              <m:e>
                <m:r>
                  <w:rPr>
                    <w:rFonts w:ascii="Cambria Math" w:hAnsi="Cambria Math"/>
                  </w:rPr>
                  <m:t>m</m:t>
                </m:r>
              </m:e>
              <m:sup>
                <m:r>
                  <w:rPr>
                    <w:rFonts w:ascii="Cambria Math" w:hAnsi="Cambria Math"/>
                  </w:rPr>
                  <m:t>2</m:t>
                </m:r>
              </m:sup>
            </m:sSup>
          </m:e>
        </m:d>
      </m:oMath>
      <w:r w:rsidRPr="00306D0C">
        <w:t xml:space="preserve">; and </w:t>
      </w:r>
      <m:oMath>
        <m:sSub>
          <m:sSubPr>
            <m:ctrlPr>
              <w:rPr>
                <w:rFonts w:ascii="Cambria Math" w:hAnsi="Cambria Math"/>
                <w:i/>
              </w:rPr>
            </m:ctrlPr>
          </m:sSubPr>
          <m:e>
            <m:r>
              <w:rPr>
                <w:rFonts w:ascii="Cambria Math" w:hAnsi="Cambria Math"/>
              </w:rPr>
              <m:t>T</m:t>
            </m:r>
          </m:e>
          <m:sub>
            <m:r>
              <w:rPr>
                <w:rFonts w:ascii="Cambria Math" w:hAnsi="Cambria Math"/>
              </w:rPr>
              <m:t>s</m:t>
            </m:r>
          </m:sub>
        </m:sSub>
      </m:oMath>
      <w:r w:rsidRPr="00306D0C">
        <w:t xml:space="preserve"> and </w:t>
      </w:r>
      <m:oMath>
        <m:sSub>
          <m:sSubPr>
            <m:ctrlPr>
              <w:rPr>
                <w:rFonts w:ascii="Cambria Math" w:hAnsi="Cambria Math"/>
                <w:i/>
              </w:rPr>
            </m:ctrlPr>
          </m:sSubPr>
          <m:e>
            <m:r>
              <w:rPr>
                <w:rFonts w:ascii="Cambria Math" w:hAnsi="Cambria Math"/>
              </w:rPr>
              <m:t>T</m:t>
            </m:r>
          </m:e>
          <m:sub>
            <m:r>
              <w:rPr>
                <w:rFonts w:ascii="Cambria Math" w:hAnsi="Cambria Math"/>
              </w:rPr>
              <m:t>e</m:t>
            </m:r>
          </m:sub>
        </m:sSub>
      </m:oMath>
      <w:r w:rsidRPr="00306D0C">
        <w:t xml:space="preserve"> are the surface temperatures of the two contiguous bodies that transfer heat by radiation between them.</w:t>
      </w:r>
    </w:p>
    <w:p w14:paraId="25EBFF86" w14:textId="63E8DB7B" w:rsidR="00FA4293" w:rsidRDefault="00FA4293" w:rsidP="00FA4293">
      <w:pPr>
        <w:pStyle w:val="Testua"/>
      </w:pPr>
      <w:r w:rsidRPr="00306D0C">
        <w:t>The equations describing each of the thermal phenomena are described as</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610"/>
      </w:tblGrid>
      <w:tr w:rsidR="00FA4293" w14:paraId="24796262" w14:textId="77777777" w:rsidTr="006C0843">
        <w:tc>
          <w:tcPr>
            <w:tcW w:w="8784" w:type="dxa"/>
            <w:vAlign w:val="center"/>
          </w:tcPr>
          <w:p w14:paraId="688DCB88" w14:textId="5D93EAB2" w:rsidR="00FA4293" w:rsidRDefault="00FA4293" w:rsidP="006C0843">
            <w:pPr>
              <w:pStyle w:val="Testua"/>
              <w:jc w:val="center"/>
            </w:pPr>
            <m:oMathPara>
              <m:oMath>
                <m:sSub>
                  <m:sSubPr>
                    <m:ctrlPr>
                      <w:rPr>
                        <w:rFonts w:ascii="Cambria Math" w:hAnsi="Cambria Math"/>
                      </w:rPr>
                    </m:ctrlPr>
                  </m:sSubPr>
                  <m:e>
                    <m:r>
                      <w:rPr>
                        <w:rFonts w:ascii="Cambria Math" w:hAnsi="Cambria Math"/>
                      </w:rPr>
                      <m:t>q</m:t>
                    </m:r>
                  </m:e>
                  <m:sub>
                    <m:r>
                      <m:rPr>
                        <m:sty m:val="p"/>
                      </m:rPr>
                      <w:rPr>
                        <w:rFonts w:ascii="Cambria Math" w:hAnsi="Cambria Math"/>
                      </w:rPr>
                      <m:t>accu</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gen</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cond</m:t>
                    </m:r>
                  </m:sub>
                </m:sSub>
              </m:oMath>
            </m:oMathPara>
          </w:p>
        </w:tc>
        <w:tc>
          <w:tcPr>
            <w:tcW w:w="610" w:type="dxa"/>
          </w:tcPr>
          <w:p w14:paraId="22C61752" w14:textId="1571AD9D" w:rsidR="00FA4293" w:rsidRDefault="00FA4293" w:rsidP="006C0843">
            <w:pPr>
              <w:pStyle w:val="Testua"/>
              <w:jc w:val="right"/>
            </w:pPr>
            <w:r>
              <w:t>(</w:t>
            </w:r>
            <w:r w:rsidR="00D365A6">
              <w:t>8</w:t>
            </w:r>
            <w:r>
              <w:t>)</w:t>
            </w:r>
          </w:p>
        </w:tc>
      </w:tr>
      <w:tr w:rsidR="00FA4293" w14:paraId="212D0303" w14:textId="77777777" w:rsidTr="00FA4293">
        <w:tc>
          <w:tcPr>
            <w:tcW w:w="8784" w:type="dxa"/>
          </w:tcPr>
          <w:p w14:paraId="149BA210" w14:textId="0BA051C6" w:rsidR="00FA4293" w:rsidRDefault="00FA4293" w:rsidP="006C0843">
            <w:pPr>
              <w:pStyle w:val="Testua"/>
              <w:jc w:val="center"/>
            </w:pPr>
            <m:oMathPara>
              <m:oMath>
                <m:sSub>
                  <m:sSubPr>
                    <m:ctrlPr>
                      <w:rPr>
                        <w:rFonts w:ascii="Cambria Math" w:hAnsi="Cambria Math"/>
                      </w:rPr>
                    </m:ctrlPr>
                  </m:sSubPr>
                  <m:e>
                    <m:r>
                      <w:rPr>
                        <w:rFonts w:ascii="Cambria Math" w:hAnsi="Cambria Math"/>
                      </w:rPr>
                      <m:t>q</m:t>
                    </m:r>
                  </m:e>
                  <m:sub>
                    <m:r>
                      <w:rPr>
                        <w:rFonts w:ascii="Cambria Math" w:hAnsi="Cambria Math"/>
                      </w:rPr>
                      <m:t>cond</m:t>
                    </m:r>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conv</m:t>
                    </m:r>
                    <m:r>
                      <m:rPr>
                        <m:sty m:val="p"/>
                      </m:rP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rad</m:t>
                    </m:r>
                    <m:r>
                      <m:rPr>
                        <m:sty m:val="p"/>
                      </m:rPr>
                      <w:rPr>
                        <w:rFonts w:ascii="Cambria Math" w:hAnsi="Cambria Math"/>
                      </w:rPr>
                      <m:t>,i</m:t>
                    </m:r>
                  </m:sub>
                </m:sSub>
              </m:oMath>
            </m:oMathPara>
          </w:p>
        </w:tc>
        <w:tc>
          <w:tcPr>
            <w:tcW w:w="610" w:type="dxa"/>
          </w:tcPr>
          <w:p w14:paraId="31A4FA8F" w14:textId="6B0CE4F9" w:rsidR="00FA4293" w:rsidRDefault="00FA4293" w:rsidP="006C0843">
            <w:pPr>
              <w:pStyle w:val="Testua"/>
              <w:jc w:val="right"/>
            </w:pPr>
            <w:r>
              <w:t>(</w:t>
            </w:r>
            <w:r w:rsidR="00D365A6">
              <w:t>9</w:t>
            </w:r>
            <w:r>
              <w:t>)</w:t>
            </w:r>
          </w:p>
        </w:tc>
      </w:tr>
    </w:tbl>
    <w:p w14:paraId="613DDCDD" w14:textId="2F192FF6" w:rsidR="00FA4293" w:rsidRPr="00FA4293" w:rsidRDefault="00FA4293" w:rsidP="00FA4293">
      <w:pPr>
        <w:pStyle w:val="Testua"/>
      </w:pPr>
      <w:r w:rsidRPr="007D7B3D">
        <w:t xml:space="preserve">where, </w:t>
      </w:r>
      <m:oMath>
        <m:sSub>
          <m:sSubPr>
            <m:ctrlPr>
              <w:rPr>
                <w:rFonts w:ascii="Cambria Math" w:hAnsi="Cambria Math"/>
              </w:rPr>
            </m:ctrlPr>
          </m:sSubPr>
          <m:e>
            <m:r>
              <w:rPr>
                <w:rFonts w:ascii="Cambria Math" w:hAnsi="Cambria Math"/>
              </w:rPr>
              <m:t>q</m:t>
            </m:r>
          </m:e>
          <m:sub>
            <m:r>
              <w:rPr>
                <w:rFonts w:ascii="Cambria Math" w:hAnsi="Cambria Math"/>
              </w:rPr>
              <m:t>accu</m:t>
            </m:r>
          </m:sub>
        </m:sSub>
      </m:oMath>
      <w:r w:rsidRPr="007D7B3D">
        <w:t xml:space="preserve"> is the heat accumulated between the current </w:t>
      </w:r>
      <m:oMath>
        <m:r>
          <w:rPr>
            <w:rFonts w:ascii="Cambria Math" w:hAnsi="Cambria Math"/>
          </w:rPr>
          <m:t>k</m:t>
        </m:r>
      </m:oMath>
      <w:r w:rsidRPr="007D7B3D">
        <w:t xml:space="preserve"> and the previous </w:t>
      </w:r>
      <m:oMath>
        <m:r>
          <w:rPr>
            <w:rFonts w:ascii="Cambria Math" w:hAnsi="Cambria Math"/>
          </w:rPr>
          <m:t>k</m:t>
        </m:r>
      </m:oMath>
      <w:r w:rsidRPr="007D7B3D">
        <w:t xml:space="preserve"> (</w:t>
      </w:r>
      <m:oMath>
        <m:r>
          <w:rPr>
            <w:rFonts w:ascii="Cambria Math" w:hAnsi="Cambria Math"/>
          </w:rPr>
          <m:t>k</m:t>
        </m:r>
        <m:r>
          <m:rPr>
            <m:sty m:val="p"/>
          </m:rPr>
          <w:rPr>
            <w:rFonts w:ascii="Cambria Math" w:hAnsi="Cambria Math"/>
          </w:rPr>
          <m:t>-1</m:t>
        </m:r>
      </m:oMath>
      <w:r w:rsidRPr="007D7B3D">
        <w:t xml:space="preserve">), </w:t>
      </w:r>
      <m:oMath>
        <m:sSub>
          <m:sSubPr>
            <m:ctrlPr>
              <w:rPr>
                <w:rFonts w:ascii="Cambria Math" w:hAnsi="Cambria Math"/>
              </w:rPr>
            </m:ctrlPr>
          </m:sSubPr>
          <m:e>
            <m:r>
              <w:rPr>
                <w:rFonts w:ascii="Cambria Math" w:hAnsi="Cambria Math"/>
              </w:rPr>
              <m:t>q</m:t>
            </m:r>
          </m:e>
          <m:sub>
            <m:r>
              <w:rPr>
                <w:rFonts w:ascii="Cambria Math" w:hAnsi="Cambria Math"/>
              </w:rPr>
              <m:t>gen</m:t>
            </m:r>
          </m:sub>
        </m:sSub>
      </m:oMath>
      <w:r w:rsidRPr="007D7B3D">
        <w:t xml:space="preserve"> is the heat generated by the current flowing through the cell, </w:t>
      </w:r>
      <m:oMath>
        <m:sSub>
          <m:sSubPr>
            <m:ctrlPr>
              <w:rPr>
                <w:rFonts w:ascii="Cambria Math" w:hAnsi="Cambria Math"/>
              </w:rPr>
            </m:ctrlPr>
          </m:sSubPr>
          <m:e>
            <m:r>
              <w:rPr>
                <w:rFonts w:ascii="Cambria Math" w:hAnsi="Cambria Math"/>
              </w:rPr>
              <m:t>q</m:t>
            </m:r>
          </m:e>
          <m:sub>
            <m:r>
              <w:rPr>
                <w:rFonts w:ascii="Cambria Math" w:hAnsi="Cambria Math"/>
              </w:rPr>
              <m:t>cond</m:t>
            </m:r>
          </m:sub>
        </m:sSub>
      </m:oMath>
      <w:r w:rsidRPr="007D7B3D">
        <w:t xml:space="preserve"> is the heat transferred by conduction from the centre to the surfaces of the cell and </w:t>
      </w:r>
      <m:oMath>
        <m:sSub>
          <m:sSubPr>
            <m:ctrlPr>
              <w:rPr>
                <w:rFonts w:ascii="Cambria Math" w:hAnsi="Cambria Math"/>
              </w:rPr>
            </m:ctrlPr>
          </m:sSubPr>
          <m:e>
            <m:r>
              <w:rPr>
                <w:rFonts w:ascii="Cambria Math" w:hAnsi="Cambria Math"/>
              </w:rPr>
              <m:t>q</m:t>
            </m:r>
          </m:e>
          <m:sub>
            <m:r>
              <w:rPr>
                <w:rFonts w:ascii="Cambria Math" w:hAnsi="Cambria Math"/>
              </w:rPr>
              <m:t>conv</m:t>
            </m:r>
          </m:sub>
        </m:sSub>
      </m:oMath>
      <w:r w:rsidRPr="007D7B3D">
        <w:t xml:space="preserve"> and </w:t>
      </w:r>
      <m:oMath>
        <m:sSub>
          <m:sSubPr>
            <m:ctrlPr>
              <w:rPr>
                <w:rFonts w:ascii="Cambria Math" w:hAnsi="Cambria Math"/>
              </w:rPr>
            </m:ctrlPr>
          </m:sSubPr>
          <m:e>
            <m:r>
              <w:rPr>
                <w:rFonts w:ascii="Cambria Math" w:hAnsi="Cambria Math"/>
              </w:rPr>
              <m:t>q</m:t>
            </m:r>
          </m:e>
          <m:sub>
            <m:r>
              <w:rPr>
                <w:rFonts w:ascii="Cambria Math" w:hAnsi="Cambria Math"/>
              </w:rPr>
              <m:t>rad</m:t>
            </m:r>
          </m:sub>
        </m:sSub>
      </m:oMath>
      <w:r w:rsidRPr="007D7B3D">
        <w:t xml:space="preserve"> is this conductive heat dissipation via convection and radiation. The index </w:t>
      </w:r>
      <m:oMath>
        <m:r>
          <w:rPr>
            <w:rFonts w:ascii="Cambria Math" w:hAnsi="Cambria Math"/>
          </w:rPr>
          <m:t>i</m:t>
        </m:r>
      </m:oMath>
      <w:r w:rsidRPr="007D7B3D">
        <w:t xml:space="preserve"> represents each of the three dimensions through which the heat is transferred.</w:t>
      </w:r>
    </w:p>
    <w:p w14:paraId="71DE3E66" w14:textId="60078463" w:rsidR="00A5346D" w:rsidRDefault="00FA4293">
      <w:pPr>
        <w:pStyle w:val="Ttulo2"/>
        <w:numPr>
          <w:ilvl w:val="1"/>
          <w:numId w:val="1"/>
        </w:numPr>
      </w:pPr>
      <w:r>
        <w:t>Integration of Cell Models</w:t>
      </w:r>
    </w:p>
    <w:p w14:paraId="2ED6BDD6" w14:textId="328D1186" w:rsidR="00FA4293" w:rsidRDefault="00FA4293" w:rsidP="00FA4293">
      <w:pPr>
        <w:pStyle w:val="Testua"/>
      </w:pPr>
      <w:r w:rsidRPr="005C5F37">
        <w:t>The models previously presented are integrated to develop a DTSP based on cloud computing</w:t>
      </w:r>
      <w:r>
        <w:t>. This platform is destined to be the digital replica of the LIB, where different battery states can be estimated (SoX) to later enable a variety of Digital Services and, thereby, optimise battery operation through its entire lifecycle.</w:t>
      </w:r>
      <w:r w:rsidR="003077CC">
        <w:t xml:space="preserve"> </w:t>
      </w:r>
      <w:r>
        <w:t>After analysing the inputs, outputs and parameters required by each of these models, it has been studied which characteristics are shared and how the basic properties of each model influence the other. As shown, both models require a current profile as input data</w:t>
      </w:r>
      <w:r w:rsidR="003077CC">
        <w:t xml:space="preserve"> and </w:t>
      </w:r>
      <w:r>
        <w:t xml:space="preserve">also need the temperature and the SoC from the previous step. In terms of parameters, they share a common internal resistance </w:t>
      </w:r>
      <w:r w:rsidR="003077CC">
        <w:t xml:space="preserve">parameter </w:t>
      </w:r>
      <w:r>
        <w:t xml:space="preserve">of the </w:t>
      </w:r>
      <w:r w:rsidR="003077CC">
        <w:t>cell</w:t>
      </w:r>
      <w:r>
        <w:t>.</w:t>
      </w:r>
    </w:p>
    <w:p w14:paraId="77D8F10A" w14:textId="2EEED1B8" w:rsidR="00FA4293" w:rsidRDefault="00FA4293" w:rsidP="00FA4293">
      <w:pPr>
        <w:pStyle w:val="Testua"/>
      </w:pPr>
      <w:r>
        <w:t>For the estimated values of the cell-level models, the voltage calculated by the electrical model will be used to estimate the SoC of the battery, which will be used by both the thermal model and the feedback of the model itself. The same is true for the thermal model, which calculates the cell temperature, which is used as input for the electrical model and for the thermal model itself. Based on all this, it can be seen that the models feedback their calculations for more accurate estimations and predictions.</w:t>
      </w:r>
      <w:r w:rsidR="004104EF">
        <w:t xml:space="preserve"> </w:t>
      </w:r>
      <w:r>
        <w:t>To this end, a simulation platform is proposed for this battery with the aim of performing full monitoring in the electrical and thermal fields.</w:t>
      </w:r>
    </w:p>
    <w:p w14:paraId="58A40D22" w14:textId="77777777" w:rsidR="00FA4293" w:rsidRDefault="00FA4293" w:rsidP="00FA4293">
      <w:pPr>
        <w:pStyle w:val="Figures"/>
      </w:pPr>
      <w:r>
        <w:drawing>
          <wp:inline distT="0" distB="0" distL="0" distR="0" wp14:anchorId="5342567B" wp14:editId="66E2522D">
            <wp:extent cx="5629702" cy="2119935"/>
            <wp:effectExtent l="0" t="0" r="0" b="0"/>
            <wp:docPr id="51" name="Imagen 5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Imagen 51" descr="Interfaz de usuario gráfica, Aplicación&#10;&#10;Descripción generada automáticamente"/>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5684468" cy="2140558"/>
                    </a:xfrm>
                    <a:prstGeom prst="rect">
                      <a:avLst/>
                    </a:prstGeom>
                    <a:noFill/>
                    <a:ln>
                      <a:noFill/>
                    </a:ln>
                  </pic:spPr>
                </pic:pic>
              </a:graphicData>
            </a:graphic>
          </wp:inline>
        </w:drawing>
      </w:r>
    </w:p>
    <w:p w14:paraId="2898BEF9" w14:textId="77777777" w:rsidR="00FA4293" w:rsidRDefault="00FA4293" w:rsidP="00FA4293">
      <w:pPr>
        <w:pStyle w:val="Figuresdescription"/>
      </w:pPr>
      <w:r w:rsidRPr="00983A47">
        <w:t>Figure</w:t>
      </w:r>
      <w:r w:rsidRPr="00FA4293">
        <w:rPr>
          <w:spacing w:val="-7"/>
        </w:rPr>
        <w:t xml:space="preserve"> 4</w:t>
      </w:r>
      <w:r w:rsidRPr="00983A47">
        <w:t>:</w:t>
      </w:r>
      <w:r w:rsidRPr="00FA4293">
        <w:rPr>
          <w:spacing w:val="11"/>
        </w:rPr>
        <w:t xml:space="preserve"> </w:t>
      </w:r>
      <w:r>
        <w:t>Digital Twin Simulation Platform</w:t>
      </w:r>
    </w:p>
    <w:p w14:paraId="65919C0C" w14:textId="748EEFE5" w:rsidR="00A5346D" w:rsidRDefault="00FA4293">
      <w:pPr>
        <w:pStyle w:val="Ttulo1"/>
        <w:numPr>
          <w:ilvl w:val="0"/>
          <w:numId w:val="1"/>
        </w:numPr>
        <w:ind w:left="431" w:hanging="431"/>
      </w:pPr>
      <w:r>
        <w:t>Preliminary Validation Results</w:t>
      </w:r>
    </w:p>
    <w:p w14:paraId="2F0AB4F5" w14:textId="1AAAD0B7" w:rsidR="00FA4293" w:rsidRDefault="00FA4293" w:rsidP="00FA4293">
      <w:pPr>
        <w:pStyle w:val="Testua"/>
      </w:pPr>
      <w:r w:rsidRPr="00E60769">
        <w:t xml:space="preserve">The DTSP validation will be done both at </w:t>
      </w:r>
      <w:r>
        <w:t xml:space="preserve">the </w:t>
      </w:r>
      <w:r w:rsidRPr="00E60769">
        <w:t>cell level and battery module level</w:t>
      </w:r>
      <w:r>
        <w:t>. H</w:t>
      </w:r>
      <w:r w:rsidRPr="00E60769">
        <w:t>owever, this paper</w:t>
      </w:r>
      <w:r>
        <w:t xml:space="preserve"> mainly</w:t>
      </w:r>
      <w:r w:rsidRPr="00E60769">
        <w:t xml:space="preserve"> focuses on the former validation stage. For that purpose, different</w:t>
      </w:r>
      <w:r>
        <w:t xml:space="preserve"> electric and thermal</w:t>
      </w:r>
      <w:r w:rsidRPr="00E60769">
        <w:t xml:space="preserve"> characterisation tests at Beginning of Life (BoL) have been carried </w:t>
      </w:r>
      <w:proofErr w:type="spellStart"/>
      <w:r w:rsidRPr="00E60769">
        <w:t>out.</w:t>
      </w:r>
      <w:proofErr w:type="spellEnd"/>
    </w:p>
    <w:p w14:paraId="48CCD898" w14:textId="2A6F3793" w:rsidR="00FA4293" w:rsidRDefault="00FA4293" w:rsidP="00FA4293">
      <w:pPr>
        <w:pStyle w:val="Testua"/>
      </w:pPr>
      <w:r>
        <w:t>For the electrical model validation, a HPPC test has been performed where different C-rate pulses have been applied to the cells at different points of the SoC, both in charge and discharge. On the other hand, the thermal model validation has been performed against a cell capacity test where the measured temperatures are compared with the thermal model estimation.</w:t>
      </w:r>
    </w:p>
    <w:p w14:paraId="7C3A2861" w14:textId="723B1F15" w:rsidR="00FA4293" w:rsidRDefault="00FA4293" w:rsidP="00FA4293">
      <w:pPr>
        <w:pStyle w:val="Ttulo2"/>
        <w:numPr>
          <w:ilvl w:val="1"/>
          <w:numId w:val="1"/>
        </w:numPr>
      </w:pPr>
      <w:r w:rsidRPr="00FA4293">
        <w:t>Electric Model Validation Results</w:t>
      </w:r>
    </w:p>
    <w:p w14:paraId="3E5B6573" w14:textId="19AFA6AB" w:rsidR="00FA4293" w:rsidRDefault="00FA4293" w:rsidP="00FA4293">
      <w:pPr>
        <w:pStyle w:val="Testua"/>
      </w:pPr>
      <w:r>
        <w:t xml:space="preserve">To examine and compare the performance of the proposed algorithms, a discrete-time state-space model applied to the battery cells has first been defined. Tests were performed in the laboratory to adjust the parameters of the cell model, and then tests were performed on another cell to see how these models fit the cell. For the tests, a climatic chamber (CTS, </w:t>
      </w:r>
      <w:proofErr w:type="spellStart"/>
      <w:r>
        <w:t>Clima</w:t>
      </w:r>
      <w:proofErr w:type="spellEnd"/>
      <w:r>
        <w:t xml:space="preserve"> </w:t>
      </w:r>
      <w:proofErr w:type="spellStart"/>
      <w:r>
        <w:t>Temperatur</w:t>
      </w:r>
      <w:proofErr w:type="spellEnd"/>
      <w:r>
        <w:t xml:space="preserve"> </w:t>
      </w:r>
      <w:proofErr w:type="spellStart"/>
      <w:r>
        <w:t>Systeme</w:t>
      </w:r>
      <w:proofErr w:type="spellEnd"/>
      <w:r>
        <w:t>) was used for the experiments requiring a constant temperature and a programmable cycler Industrial Battery Tester.</w:t>
      </w:r>
    </w:p>
    <w:p w14:paraId="4DEE2F3C" w14:textId="244A75C5" w:rsidR="00E726D5" w:rsidRDefault="00FA4293" w:rsidP="00E726D5">
      <w:pPr>
        <w:pStyle w:val="Testua"/>
      </w:pPr>
      <w:r>
        <w:t xml:space="preserve">The cell test </w:t>
      </w:r>
      <w:r w:rsidR="00092BA7">
        <w:t>realised was a</w:t>
      </w:r>
      <w:r>
        <w:t xml:space="preserve"> sequence of 4 charge and discharge pulses (of 2.5 A and 1.25 A) spread over the SOC range of 90-10%, all at ambient temperature of 25°C. Fig 5(a) represents the SoC as a function of time in charging the cell, the measured voltages and voltage estimation by the model in Fig 5(b) and finally in Fig 5(c) the absolute error of the model in mV.</w:t>
      </w:r>
    </w:p>
    <w:p w14:paraId="3840F907" w14:textId="6D00ACB3" w:rsidR="00FA4293" w:rsidRDefault="00E726D5" w:rsidP="00FA4293">
      <w:pPr>
        <w:pStyle w:val="Figures"/>
      </w:pPr>
      <w:r w:rsidRPr="00E726D5">
        <w:drawing>
          <wp:inline distT="0" distB="0" distL="0" distR="0" wp14:anchorId="6279DE9A" wp14:editId="28CD3329">
            <wp:extent cx="5718412" cy="3156587"/>
            <wp:effectExtent l="0" t="0" r="0" b="5715"/>
            <wp:docPr id="18" name="Gráfico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96DAC541-7B7A-43D3-8B79-37D633B846F1}">
                          <asvg:svgBlip xmlns:asvg="http://schemas.microsoft.com/office/drawing/2016/SVG/main" r:embed="rId16"/>
                        </a:ext>
                      </a:extLst>
                    </a:blip>
                    <a:srcRect l="10123" t="4769" r="8093" b="5399"/>
                    <a:stretch/>
                  </pic:blipFill>
                  <pic:spPr bwMode="auto">
                    <a:xfrm>
                      <a:off x="0" y="0"/>
                      <a:ext cx="5752693" cy="3175510"/>
                    </a:xfrm>
                    <a:prstGeom prst="rect">
                      <a:avLst/>
                    </a:prstGeom>
                    <a:ln>
                      <a:noFill/>
                    </a:ln>
                    <a:extLst>
                      <a:ext uri="{53640926-AAD7-44D8-BBD7-CCE9431645EC}">
                        <a14:shadowObscured xmlns:a14="http://schemas.microsoft.com/office/drawing/2010/main"/>
                      </a:ext>
                    </a:extLst>
                  </pic:spPr>
                </pic:pic>
              </a:graphicData>
            </a:graphic>
          </wp:inline>
        </w:drawing>
      </w:r>
    </w:p>
    <w:p w14:paraId="2F9E41FC" w14:textId="40BE9C0B" w:rsidR="00FA4293" w:rsidRDefault="00FA4293" w:rsidP="00FA4293">
      <w:pPr>
        <w:pStyle w:val="Figuresdescription"/>
      </w:pPr>
      <w:r w:rsidRPr="00983A47">
        <w:t>Figure</w:t>
      </w:r>
      <w:r w:rsidRPr="00FA4293">
        <w:rPr>
          <w:spacing w:val="-7"/>
        </w:rPr>
        <w:t xml:space="preserve"> </w:t>
      </w:r>
      <w:r>
        <w:t>5</w:t>
      </w:r>
      <w:r w:rsidRPr="00983A47">
        <w:t xml:space="preserve">: </w:t>
      </w:r>
      <w:r w:rsidRPr="00972015">
        <w:t xml:space="preserve">Results of </w:t>
      </w:r>
      <w:r>
        <w:t>ECM</w:t>
      </w:r>
      <w:r w:rsidR="003144AD">
        <w:t xml:space="preserve"> at 25 ºC</w:t>
      </w:r>
    </w:p>
    <w:p w14:paraId="65561C1D" w14:textId="2899992C" w:rsidR="00FA4293" w:rsidRDefault="00FA4293" w:rsidP="00FA4293">
      <w:pPr>
        <w:pStyle w:val="Testua"/>
      </w:pPr>
      <w:r>
        <w:t>The actual voltage value (</w:t>
      </w:r>
      <w:r w:rsidR="00E726D5">
        <w:t>blue</w:t>
      </w:r>
      <w:r>
        <w:t xml:space="preserve"> line) was compared with the predicted voltage value (</w:t>
      </w:r>
      <w:r w:rsidR="00E726D5">
        <w:t>orange</w:t>
      </w:r>
      <w:r>
        <w:t xml:space="preserve"> line) for the tested data. The model fit has been judged by comparing the estimation error (equal to the cell voltage minus the model voltage)</w:t>
      </w:r>
      <w:r w:rsidR="00092BA7">
        <w:t xml:space="preserve"> and a</w:t>
      </w:r>
      <w:r>
        <w:t xml:space="preserve"> very close agreement is observed, especially during the dynamic part of the test.</w:t>
      </w:r>
      <w:r w:rsidR="00E726D5">
        <w:t xml:space="preserve"> The </w:t>
      </w:r>
      <w:r w:rsidR="00E726D5" w:rsidRPr="004F4A20">
        <w:t xml:space="preserve">mean absolute error </w:t>
      </w:r>
      <w:r w:rsidR="00E726D5">
        <w:t>of the model is</w:t>
      </w:r>
      <w:r w:rsidR="00E726D5" w:rsidRPr="004F4A20">
        <w:t xml:space="preserve"> </w:t>
      </w:r>
      <w:r w:rsidR="00E726D5" w:rsidRPr="00E726D5">
        <w:t>0.0244</w:t>
      </w:r>
      <w:r w:rsidR="00E726D5" w:rsidRPr="004F4A20">
        <w:t xml:space="preserve"> mV and the maximum error </w:t>
      </w:r>
      <w:r w:rsidR="00E726D5">
        <w:t>of</w:t>
      </w:r>
      <w:r w:rsidR="00E726D5" w:rsidRPr="004F4A20">
        <w:t xml:space="preserve"> </w:t>
      </w:r>
      <w:r w:rsidR="00E726D5" w:rsidRPr="00E726D5">
        <w:t>0.5063</w:t>
      </w:r>
      <w:r w:rsidR="00E726D5">
        <w:t xml:space="preserve"> </w:t>
      </w:r>
      <w:r w:rsidR="00E726D5" w:rsidRPr="004F4A20">
        <w:t>mV.</w:t>
      </w:r>
    </w:p>
    <w:p w14:paraId="323827AE" w14:textId="4B23CF67" w:rsidR="003144AD" w:rsidRDefault="00FA4293" w:rsidP="00FA4293">
      <w:pPr>
        <w:pStyle w:val="Testua"/>
      </w:pPr>
      <w:r>
        <w:t>On the other hand, the test has been repeated with a</w:t>
      </w:r>
      <w:r w:rsidR="00092BA7">
        <w:t>n</w:t>
      </w:r>
      <w:r>
        <w:t xml:space="preserve"> </w:t>
      </w:r>
      <w:r w:rsidR="00092BA7">
        <w:t xml:space="preserve">identical </w:t>
      </w:r>
      <w:r>
        <w:t>current profile at an ambient chamber temperature of 45ºC. Figure 6 shows the equivalent results obtained by the electrical model under the new conditions.</w:t>
      </w:r>
    </w:p>
    <w:p w14:paraId="114E6EEE" w14:textId="2F24CF79" w:rsidR="003144AD" w:rsidRDefault="003144AD" w:rsidP="00E3735F">
      <w:pPr>
        <w:pStyle w:val="Figures"/>
      </w:pPr>
      <w:r w:rsidRPr="003144AD">
        <w:drawing>
          <wp:inline distT="0" distB="0" distL="0" distR="0" wp14:anchorId="318C837F" wp14:editId="0C9B3581">
            <wp:extent cx="5827594" cy="3256162"/>
            <wp:effectExtent l="0" t="0" r="1905" b="1905"/>
            <wp:docPr id="17" name="Gráfico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96DAC541-7B7A-43D3-8B79-37D633B846F1}">
                          <asvg:svgBlip xmlns:asvg="http://schemas.microsoft.com/office/drawing/2016/SVG/main" r:embed="rId18"/>
                        </a:ext>
                      </a:extLst>
                    </a:blip>
                    <a:srcRect l="10120" t="3976" r="8120" b="5123"/>
                    <a:stretch/>
                  </pic:blipFill>
                  <pic:spPr bwMode="auto">
                    <a:xfrm>
                      <a:off x="0" y="0"/>
                      <a:ext cx="5863240" cy="3276079"/>
                    </a:xfrm>
                    <a:prstGeom prst="rect">
                      <a:avLst/>
                    </a:prstGeom>
                    <a:ln>
                      <a:noFill/>
                    </a:ln>
                    <a:extLst>
                      <a:ext uri="{53640926-AAD7-44D8-BBD7-CCE9431645EC}">
                        <a14:shadowObscured xmlns:a14="http://schemas.microsoft.com/office/drawing/2010/main"/>
                      </a:ext>
                    </a:extLst>
                  </pic:spPr>
                </pic:pic>
              </a:graphicData>
            </a:graphic>
          </wp:inline>
        </w:drawing>
      </w:r>
    </w:p>
    <w:p w14:paraId="5B583275" w14:textId="341A5E02" w:rsidR="003144AD" w:rsidRDefault="003144AD" w:rsidP="003144AD">
      <w:pPr>
        <w:pStyle w:val="Figuresdescription"/>
      </w:pPr>
      <w:r w:rsidRPr="00983A47">
        <w:t>Figure</w:t>
      </w:r>
      <w:r w:rsidRPr="00FA4293">
        <w:rPr>
          <w:spacing w:val="-7"/>
        </w:rPr>
        <w:t xml:space="preserve"> </w:t>
      </w:r>
      <w:r>
        <w:t>5</w:t>
      </w:r>
      <w:r w:rsidRPr="00983A47">
        <w:t xml:space="preserve">: </w:t>
      </w:r>
      <w:r w:rsidRPr="00972015">
        <w:t xml:space="preserve">Results of </w:t>
      </w:r>
      <w:r>
        <w:t>ECM</w:t>
      </w:r>
      <w:r>
        <w:t xml:space="preserve"> at 45 ºC</w:t>
      </w:r>
    </w:p>
    <w:p w14:paraId="3DA4259E" w14:textId="16BB0018" w:rsidR="00FA4293" w:rsidRDefault="00FA4293" w:rsidP="00FA4293">
      <w:pPr>
        <w:pStyle w:val="Testua"/>
      </w:pPr>
      <w:r w:rsidRPr="004F4A20">
        <w:t>The model has mostly predicted the correct voltage value</w:t>
      </w:r>
      <w:r w:rsidR="00092BA7">
        <w:t xml:space="preserve"> with a</w:t>
      </w:r>
      <w:r w:rsidRPr="004F4A20">
        <w:t xml:space="preserve"> mean absolute error </w:t>
      </w:r>
      <w:r w:rsidR="00092BA7">
        <w:t>of</w:t>
      </w:r>
      <w:r w:rsidRPr="004F4A20">
        <w:t xml:space="preserve"> </w:t>
      </w:r>
      <w:r w:rsidR="00D53A60" w:rsidRPr="00D53A60">
        <w:t>0.0182</w:t>
      </w:r>
      <w:r w:rsidR="00D53A60">
        <w:t xml:space="preserve"> </w:t>
      </w:r>
      <w:r w:rsidRPr="004F4A20">
        <w:t xml:space="preserve">mV and the maximum error </w:t>
      </w:r>
      <w:r w:rsidR="00092BA7">
        <w:t>of</w:t>
      </w:r>
      <w:r w:rsidRPr="004F4A20">
        <w:t xml:space="preserve"> </w:t>
      </w:r>
      <w:r w:rsidR="00D53A60" w:rsidRPr="00D53A60">
        <w:t>0.6494</w:t>
      </w:r>
      <w:r w:rsidRPr="004F4A20">
        <w:t xml:space="preserve"> mV. With these results, the electrical model of the system is well suited to the simulation needs of the battery </w:t>
      </w:r>
      <w:r>
        <w:t>module</w:t>
      </w:r>
      <w:r w:rsidRPr="004F4A20">
        <w:t>.</w:t>
      </w:r>
    </w:p>
    <w:p w14:paraId="68B43765" w14:textId="240905D5" w:rsidR="00FA4293" w:rsidRDefault="00FA4293" w:rsidP="00FA4293">
      <w:pPr>
        <w:pStyle w:val="Ttulo2"/>
        <w:numPr>
          <w:ilvl w:val="1"/>
          <w:numId w:val="1"/>
        </w:numPr>
      </w:pPr>
      <w:r>
        <w:t>Thermal</w:t>
      </w:r>
      <w:r w:rsidRPr="00FA4293">
        <w:t xml:space="preserve"> Model Validation Results</w:t>
      </w:r>
    </w:p>
    <w:p w14:paraId="56F44971" w14:textId="7A529375" w:rsidR="006C3110" w:rsidRDefault="006C3110" w:rsidP="006C3110">
      <w:pPr>
        <w:pStyle w:val="Testua"/>
      </w:pPr>
      <w:r w:rsidRPr="00EE2A73">
        <w:t>In this part, the identified thermal behaviour of the selected cell has been further analysed by means of loads at different C-rates. In this way, the expected performance and the thermal response measured during the testing of the cell could be verified.</w:t>
      </w:r>
      <w:r>
        <w:t xml:space="preserve"> </w:t>
      </w:r>
      <w:r w:rsidRPr="005E440C">
        <w:t xml:space="preserve">1C load of two complete cycles of the cell has been performed in a thermal chamber at a constant ambient temperature. The thermal chamber used (CTS, </w:t>
      </w:r>
      <w:proofErr w:type="spellStart"/>
      <w:r w:rsidRPr="005E440C">
        <w:t>Clima</w:t>
      </w:r>
      <w:proofErr w:type="spellEnd"/>
      <w:r w:rsidRPr="005E440C">
        <w:t xml:space="preserve"> </w:t>
      </w:r>
      <w:proofErr w:type="spellStart"/>
      <w:r w:rsidRPr="005E440C">
        <w:t>Temperatur</w:t>
      </w:r>
      <w:proofErr w:type="spellEnd"/>
      <w:r w:rsidRPr="005E440C">
        <w:t xml:space="preserve"> </w:t>
      </w:r>
      <w:proofErr w:type="spellStart"/>
      <w:r w:rsidRPr="005E440C">
        <w:t>Systeme</w:t>
      </w:r>
      <w:proofErr w:type="spellEnd"/>
      <w:r w:rsidRPr="005E440C">
        <w:t>) has an accuracy of ±0.3 K to maintain the desired ambient temperature. The temperature mapping of the cell temperature was performed using the Agilent and a T-type thermocouple for each cell surface and the IBT was used to load the cells. The same test was then repeated, in this case at 4C.</w:t>
      </w:r>
    </w:p>
    <w:p w14:paraId="7B064B98" w14:textId="5B2566AD" w:rsidR="006C3110" w:rsidRDefault="006C3110" w:rsidP="006C3110">
      <w:pPr>
        <w:pStyle w:val="Testua"/>
      </w:pPr>
      <w:r w:rsidRPr="00F87333">
        <w:t>The thermal model calculates an energy balance at each time step to optimise the temperatures of every surface of the cell. The energy balance is performed using the Newton Raphson optimisation method</w:t>
      </w:r>
      <w:r w:rsidR="006D5CED">
        <w:t xml:space="preserve"> </w:t>
      </w:r>
      <w:r w:rsidRPr="00CD11E4">
        <w:t xml:space="preserve">Fig. 6(a) represents the SoC as a function of the cell, the measured temperatures and the temperature estimation by the model in Fig. 6(b) and finally in Fig. 6(c) the absolute error of the model in </w:t>
      </w:r>
      <w:r w:rsidR="004104EF">
        <w:t>K</w:t>
      </w:r>
      <w:r w:rsidRPr="00CD11E4">
        <w:t>.</w:t>
      </w:r>
    </w:p>
    <w:p w14:paraId="3B8F0D9D" w14:textId="35F25D63" w:rsidR="006C3110" w:rsidRDefault="006B3846" w:rsidP="006C3110">
      <w:pPr>
        <w:pStyle w:val="Figures"/>
      </w:pPr>
      <w:r>
        <w:drawing>
          <wp:inline distT="0" distB="0" distL="0" distR="0" wp14:anchorId="42E24319" wp14:editId="5E789A51">
            <wp:extent cx="5971540" cy="1931035"/>
            <wp:effectExtent l="0" t="0" r="0" b="0"/>
            <wp:docPr id="16" name="Imagen 16"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descr="Gráfico, Gráfico de líneas&#10;&#10;Descripción generada automáticamente"/>
                    <pic:cNvPicPr/>
                  </pic:nvPicPr>
                  <pic:blipFill>
                    <a:blip r:embed="rId19"/>
                    <a:stretch>
                      <a:fillRect/>
                    </a:stretch>
                  </pic:blipFill>
                  <pic:spPr>
                    <a:xfrm>
                      <a:off x="0" y="0"/>
                      <a:ext cx="5971540" cy="1931035"/>
                    </a:xfrm>
                    <a:prstGeom prst="rect">
                      <a:avLst/>
                    </a:prstGeom>
                  </pic:spPr>
                </pic:pic>
              </a:graphicData>
            </a:graphic>
          </wp:inline>
        </w:drawing>
      </w:r>
    </w:p>
    <w:p w14:paraId="7A0A2290" w14:textId="0EC149FE" w:rsidR="006C3110" w:rsidRPr="005200EA" w:rsidRDefault="006C3110" w:rsidP="006C3110">
      <w:pPr>
        <w:pStyle w:val="Figuresdescription"/>
      </w:pPr>
      <w:r w:rsidRPr="005200EA">
        <w:t>Figure 6: Results of Lumped Mode</w:t>
      </w:r>
      <w:r w:rsidR="006B3846">
        <w:t>l for 1C current profile.</w:t>
      </w:r>
    </w:p>
    <w:p w14:paraId="42E53937" w14:textId="6F3890E5" w:rsidR="006C3110" w:rsidRDefault="006B3846" w:rsidP="00E3735F">
      <w:pPr>
        <w:pStyle w:val="Testua"/>
      </w:pPr>
      <w:r>
        <w:rPr>
          <w:lang w:val="en-US"/>
        </w:rPr>
        <w:t xml:space="preserve">The model has an </w:t>
      </w:r>
      <w:r w:rsidRPr="004548E8">
        <w:t xml:space="preserve">average error of </w:t>
      </w:r>
      <w:r>
        <w:t>0.3609</w:t>
      </w:r>
      <w:r w:rsidRPr="004548E8">
        <w:t xml:space="preserve"> </w:t>
      </w:r>
      <w:r>
        <w:t>ºC</w:t>
      </w:r>
      <w:r w:rsidRPr="004548E8">
        <w:t xml:space="preserve"> and the maximum error of </w:t>
      </w:r>
      <w:r>
        <w:t>1.7093</w:t>
      </w:r>
      <w:r w:rsidRPr="004548E8">
        <w:t xml:space="preserve"> </w:t>
      </w:r>
      <w:r>
        <w:t>ºC</w:t>
      </w:r>
      <w:r w:rsidRPr="004548E8">
        <w:t>.</w:t>
      </w:r>
      <w:r>
        <w:t xml:space="preserve"> </w:t>
      </w:r>
      <w:r w:rsidR="006C3110" w:rsidRPr="00085D52">
        <w:rPr>
          <w:lang w:val="en-US"/>
        </w:rPr>
        <w:t>This same test has been repeated in this case at 4C currents of the cell.</w:t>
      </w:r>
      <w:r w:rsidR="006C3110">
        <w:rPr>
          <w:lang w:val="en-US"/>
        </w:rPr>
        <w:t xml:space="preserve"> </w:t>
      </w:r>
      <w:r w:rsidR="006C3110" w:rsidRPr="00CD11E4">
        <w:t xml:space="preserve">Fig. </w:t>
      </w:r>
      <w:r w:rsidR="006C3110">
        <w:t>7</w:t>
      </w:r>
      <w:r w:rsidR="006C3110" w:rsidRPr="00CD11E4">
        <w:t xml:space="preserve">(a) represents the SoC as a function of the cell, the measured temperatures and the temperature estimation by the model in Fig. </w:t>
      </w:r>
      <w:r w:rsidR="006C3110">
        <w:t>7</w:t>
      </w:r>
      <w:r w:rsidR="006C3110" w:rsidRPr="00CD11E4">
        <w:t xml:space="preserve">(b) and finally in Fig. </w:t>
      </w:r>
      <w:r w:rsidR="006C3110">
        <w:t>7</w:t>
      </w:r>
      <w:r w:rsidR="006C3110" w:rsidRPr="00CD11E4">
        <w:t>(c) the absolute error of the model in ºC.</w:t>
      </w:r>
    </w:p>
    <w:p w14:paraId="681B8990" w14:textId="7C3E748C" w:rsidR="00E3735F" w:rsidRDefault="00E3735F" w:rsidP="00E3735F">
      <w:pPr>
        <w:pStyle w:val="Testua"/>
      </w:pPr>
      <w:r>
        <w:rPr>
          <w:noProof/>
        </w:rPr>
        <w:drawing>
          <wp:inline distT="0" distB="0" distL="0" distR="0" wp14:anchorId="030A133A" wp14:editId="5A78E98F">
            <wp:extent cx="5971540" cy="1940560"/>
            <wp:effectExtent l="0" t="0" r="0" b="2540"/>
            <wp:docPr id="20" name="Imagen 20" descr="Gráfico, Gráfico de líne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Gráfico, Gráfico de líneas&#10;&#10;Descripción generada automáticamente"/>
                    <pic:cNvPicPr/>
                  </pic:nvPicPr>
                  <pic:blipFill>
                    <a:blip r:embed="rId20"/>
                    <a:stretch>
                      <a:fillRect/>
                    </a:stretch>
                  </pic:blipFill>
                  <pic:spPr>
                    <a:xfrm>
                      <a:off x="0" y="0"/>
                      <a:ext cx="5971540" cy="1940560"/>
                    </a:xfrm>
                    <a:prstGeom prst="rect">
                      <a:avLst/>
                    </a:prstGeom>
                  </pic:spPr>
                </pic:pic>
              </a:graphicData>
            </a:graphic>
          </wp:inline>
        </w:drawing>
      </w:r>
    </w:p>
    <w:p w14:paraId="48D49F85" w14:textId="33F911DB" w:rsidR="00002998" w:rsidRPr="005200EA" w:rsidRDefault="00002998" w:rsidP="00002998">
      <w:pPr>
        <w:pStyle w:val="Figuresdescription"/>
      </w:pPr>
      <w:r w:rsidRPr="005200EA">
        <w:t xml:space="preserve">Figure </w:t>
      </w:r>
      <w:r>
        <w:t>7</w:t>
      </w:r>
      <w:r w:rsidRPr="005200EA">
        <w:t>: Results of Lumped Model</w:t>
      </w:r>
      <w:r w:rsidR="006B3846">
        <w:t xml:space="preserve"> </w:t>
      </w:r>
      <w:r w:rsidR="006B3846">
        <w:t xml:space="preserve">for </w:t>
      </w:r>
      <w:r w:rsidR="006B3846">
        <w:t>4</w:t>
      </w:r>
      <w:r w:rsidR="006B3846">
        <w:t>C current profile</w:t>
      </w:r>
      <w:r w:rsidR="006B3846">
        <w:t>.</w:t>
      </w:r>
    </w:p>
    <w:p w14:paraId="2A9617CF" w14:textId="0054D323" w:rsidR="00FA4293" w:rsidRPr="00FA4293" w:rsidRDefault="006C3110" w:rsidP="006C3110">
      <w:pPr>
        <w:pStyle w:val="Testua"/>
      </w:pPr>
      <w:r w:rsidRPr="004548E8">
        <w:t xml:space="preserve">The model was not trained for such high currents, however it showed an acceptable accuracy with an average error of </w:t>
      </w:r>
      <w:r w:rsidR="006B3846" w:rsidRPr="006B3846">
        <w:t>2.3405</w:t>
      </w:r>
      <w:r w:rsidR="006B3846">
        <w:t xml:space="preserve"> ºC</w:t>
      </w:r>
      <w:r w:rsidRPr="004548E8">
        <w:t xml:space="preserve"> and the maximum error of </w:t>
      </w:r>
      <w:r w:rsidR="006B3846" w:rsidRPr="006B3846">
        <w:t>3.8244</w:t>
      </w:r>
      <w:r w:rsidR="006B3846">
        <w:t xml:space="preserve"> ºC</w:t>
      </w:r>
      <w:r w:rsidRPr="004548E8">
        <w:t>.</w:t>
      </w:r>
      <w:r w:rsidR="006B3846">
        <w:t xml:space="preserve"> </w:t>
      </w:r>
      <w:r w:rsidR="00A72906" w:rsidRPr="00A72906">
        <w:t>Thus, it is evident that the model is able to predict the temperature at different operating C-rates.</w:t>
      </w:r>
    </w:p>
    <w:p w14:paraId="433ED586" w14:textId="26680BF7" w:rsidR="00A5346D" w:rsidRDefault="006C3110">
      <w:pPr>
        <w:pStyle w:val="Ttulo1"/>
        <w:numPr>
          <w:ilvl w:val="0"/>
          <w:numId w:val="1"/>
        </w:numPr>
        <w:ind w:left="431" w:hanging="431"/>
      </w:pPr>
      <w:r>
        <w:t>Implementation of the DTSP in the Cloud</w:t>
      </w:r>
    </w:p>
    <w:p w14:paraId="2D72A964" w14:textId="5AFBDCC9" w:rsidR="006C3110" w:rsidRDefault="006C3110" w:rsidP="006C3110">
      <w:pPr>
        <w:pStyle w:val="Testua"/>
      </w:pPr>
      <w:r w:rsidRPr="004B52BD">
        <w:t xml:space="preserve">To develop module-level battery models which consider each of the cells separately, this section will describe in detail the proposed module-level modelling approach. </w:t>
      </w:r>
      <w:r w:rsidRPr="00CC4263">
        <w:t xml:space="preserve">Most of the electrical and thermal battery modelling works in the literature are designed and validated at the cell level. However, the actual performance of a DTSP depends on its ability to model LIB performance at the module level. </w:t>
      </w:r>
      <w:r>
        <w:t>T</w:t>
      </w:r>
      <w:r w:rsidRPr="004B52BD">
        <w:t xml:space="preserve">o implement this methodology, the proposed hardware is presented in Figure </w:t>
      </w:r>
      <w:r>
        <w:t>8</w:t>
      </w:r>
      <w:r w:rsidRPr="004B52BD">
        <w:t>.</w:t>
      </w:r>
    </w:p>
    <w:p w14:paraId="22D92F2E" w14:textId="77777777" w:rsidR="006C3110" w:rsidRDefault="006C3110" w:rsidP="006C3110">
      <w:pPr>
        <w:pStyle w:val="Figures"/>
      </w:pPr>
      <w:r>
        <w:drawing>
          <wp:inline distT="0" distB="0" distL="0" distR="0" wp14:anchorId="4A853E9A" wp14:editId="32A0D00D">
            <wp:extent cx="3330054" cy="2585996"/>
            <wp:effectExtent l="0" t="0" r="3810" b="0"/>
            <wp:docPr id="6" name="Imagen 6" descr="Interfaz de usuario gráfic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terfaz de usuario gráfica&#10;&#10;Descripción generada automáticamente con confianza media"/>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3376132" cy="2621779"/>
                    </a:xfrm>
                    <a:prstGeom prst="rect">
                      <a:avLst/>
                    </a:prstGeom>
                    <a:noFill/>
                    <a:ln>
                      <a:noFill/>
                    </a:ln>
                  </pic:spPr>
                </pic:pic>
              </a:graphicData>
            </a:graphic>
          </wp:inline>
        </w:drawing>
      </w:r>
    </w:p>
    <w:p w14:paraId="00F3C6FD" w14:textId="77777777" w:rsidR="006C3110" w:rsidRDefault="006C3110" w:rsidP="006C3110">
      <w:pPr>
        <w:pStyle w:val="Figuresdescription"/>
      </w:pPr>
      <w:r w:rsidRPr="00983A47">
        <w:t>Figure</w:t>
      </w:r>
      <w:r w:rsidRPr="006C3110">
        <w:rPr>
          <w:spacing w:val="-7"/>
        </w:rPr>
        <w:t xml:space="preserve"> </w:t>
      </w:r>
      <w:r>
        <w:t>8</w:t>
      </w:r>
      <w:r w:rsidRPr="00983A47">
        <w:t>:</w:t>
      </w:r>
      <w:r w:rsidRPr="006C3110">
        <w:rPr>
          <w:spacing w:val="11"/>
        </w:rPr>
        <w:t xml:space="preserve"> </w:t>
      </w:r>
      <w:r w:rsidRPr="00F440B0">
        <w:t xml:space="preserve">Schematic diagram of the </w:t>
      </w:r>
      <w:r>
        <w:t>proposed DTSP validation platform</w:t>
      </w:r>
    </w:p>
    <w:p w14:paraId="23259222" w14:textId="79B3DDDC" w:rsidR="006C3110" w:rsidRDefault="006C3110" w:rsidP="006C3110">
      <w:pPr>
        <w:pStyle w:val="Testua"/>
      </w:pPr>
      <w:r>
        <w:t>A battery module is composed of a series of cells connected in series or parallel. However, all these cells rarely operate in perfect balance when it is operating, and this affects the final useful energy of the battery. For these reasons, it is necessary to estimate the SoX of each cell and then estimate the equivalent response of all the cells. To this end, this work is ongoing on the extrapolation from cell-level models to full module-level models.</w:t>
      </w:r>
    </w:p>
    <w:p w14:paraId="58D55A44" w14:textId="68D57D51" w:rsidR="006C3110" w:rsidRPr="0022581E" w:rsidRDefault="006C3110" w:rsidP="006C3110">
      <w:pPr>
        <w:pStyle w:val="Testua"/>
      </w:pPr>
      <w:r>
        <w:t>In this line, it is proposed to develop the thermal model presented in this work and extrapolate it to make its estimations at the module level. By implementing at the module level, the heat transferred between all the cells is considered. To estimate the temperature distribution within the module, the common points of the thermal equivalent circuits of the cells are joined according to the module topology and a meshed circuit is created. This implies that the operations to calculate the energy balance are multiplied by the number of cells. With this information, the equivalent temperature of all surfaces and the core temperature of each cell are obtained. These are used to decide the equivalent temperature of each cell. The thermal model at module level uses the updated voltage and SoC information (information estimated by the electrical model).</w:t>
      </w:r>
      <w:r w:rsidR="0043074C">
        <w:t xml:space="preserve"> </w:t>
      </w:r>
      <w:r>
        <w:t xml:space="preserve">In turn, temperature is known to influence the electrical behaviour of the cell, so the temperatures estimated and updated by the </w:t>
      </w:r>
      <w:r w:rsidR="0043074C">
        <w:t>thermal</w:t>
      </w:r>
      <w:r>
        <w:t xml:space="preserve"> model will be used as input for the electrical models at the cell level. The electrical model is implemented for each cell and co-simulated. The results are extrapolated to the module level </w:t>
      </w:r>
      <w:proofErr w:type="gramStart"/>
      <w:r>
        <w:t>taking into account</w:t>
      </w:r>
      <w:proofErr w:type="gramEnd"/>
      <w:r>
        <w:t xml:space="preserve"> some previously defined criteria for the estimation of the Equivalent Module Voltage (</w:t>
      </w:r>
      <m:oMath>
        <m:r>
          <w:rPr>
            <w:rFonts w:ascii="Cambria Math" w:hAnsi="Cambria Math"/>
          </w:rPr>
          <m:t>EMV</m:t>
        </m:r>
      </m:oMath>
      <w:r>
        <w:t>) and this successively to estimate the equivalent SoC of the whole module.</w:t>
      </w:r>
    </w:p>
    <w:p w14:paraId="76D114A6" w14:textId="77777777" w:rsidR="0043074C" w:rsidRDefault="006C3110" w:rsidP="006C3110">
      <w:pPr>
        <w:pStyle w:val="Testua"/>
      </w:pPr>
      <w:r>
        <w:t xml:space="preserve">The DTSP will provide a clearer representation of the temperature distribution over a large number of points within the module, which is usually not affordable as LIB modules typically have a small number of temperature sensors. In addition, this platform allows for a more accurate estimation of the SoC of each cell in the module. This, together with the temperature distribution, can lead to more accurate SoH and RUL estimates. </w:t>
      </w:r>
      <w:r w:rsidRPr="001A1C6A">
        <w:t xml:space="preserve">However, running the thermal model at the module level (the calculation of the energy balance multiplied by the number of cells) together with electrical co-simulations at the cell level requires considerable computing power that the battery BMS may not be able to provide. </w:t>
      </w:r>
    </w:p>
    <w:p w14:paraId="46B874C1" w14:textId="3E2D9C47" w:rsidR="006C3110" w:rsidRDefault="006C3110" w:rsidP="006C3110">
      <w:pPr>
        <w:pStyle w:val="Testua"/>
      </w:pPr>
      <w:r w:rsidRPr="002232A6">
        <w:t>To overcome these challenges, the required performance of the BMS can be increased by implementing it with cloud computing technologies. With this computational capacity, continuous monitoring with different state estimation algorithms is possible. On the other hand, by being able to track historical LIB data from multiple energy storage systems deployed in different applications, anomalies in LIB operation can be detected. By predicting and detecting failures, the safety and reliability of the entire LIB system can be improved.</w:t>
      </w:r>
    </w:p>
    <w:p w14:paraId="2D63EF33" w14:textId="77777777" w:rsidR="006C3110" w:rsidRDefault="006C3110" w:rsidP="006C3110">
      <w:pPr>
        <w:pStyle w:val="Testua"/>
      </w:pPr>
      <w:r w:rsidRPr="00691618">
        <w:t xml:space="preserve">Thus, Cloud Computing technology will be used for the implementation of the designed DT. With the use of the Cloud, the execution time will be greatly reduced and this will allow a real-time operation. In addition, with the results obtained from the models, a database of historical data will be created and this will allow the monitoring of the LIBs in real time. To develop the Cloud, it has been decided to use the services offered by the Amazon Web Services platform. The developed architecture is presented in Figure </w:t>
      </w:r>
      <w:r>
        <w:t>9</w:t>
      </w:r>
      <w:r w:rsidRPr="00691618">
        <w:t>.</w:t>
      </w:r>
    </w:p>
    <w:p w14:paraId="6DDC3E42" w14:textId="77777777" w:rsidR="006C3110" w:rsidRDefault="006C3110" w:rsidP="006C3110">
      <w:pPr>
        <w:pStyle w:val="Figures"/>
      </w:pPr>
      <w:r w:rsidRPr="0055172A">
        <w:drawing>
          <wp:inline distT="0" distB="0" distL="0" distR="0" wp14:anchorId="6F6DBBD4" wp14:editId="3EC71FEB">
            <wp:extent cx="5295331" cy="1889419"/>
            <wp:effectExtent l="0" t="0" r="635" b="0"/>
            <wp:docPr id="9" name="Gráfico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96DAC541-7B7A-43D3-8B79-37D633B846F1}">
                          <asvg:svgBlip xmlns:asvg="http://schemas.microsoft.com/office/drawing/2016/SVG/main" r:embed="rId23"/>
                        </a:ext>
                      </a:extLst>
                    </a:blip>
                    <a:stretch>
                      <a:fillRect/>
                    </a:stretch>
                  </pic:blipFill>
                  <pic:spPr>
                    <a:xfrm>
                      <a:off x="0" y="0"/>
                      <a:ext cx="5350907" cy="1909249"/>
                    </a:xfrm>
                    <a:prstGeom prst="rect">
                      <a:avLst/>
                    </a:prstGeom>
                  </pic:spPr>
                </pic:pic>
              </a:graphicData>
            </a:graphic>
          </wp:inline>
        </w:drawing>
      </w:r>
    </w:p>
    <w:p w14:paraId="354D55CD" w14:textId="77777777" w:rsidR="006C3110" w:rsidRDefault="006C3110" w:rsidP="006C3110">
      <w:pPr>
        <w:pStyle w:val="Figuresdescription"/>
      </w:pPr>
      <w:r w:rsidRPr="00983A47">
        <w:t>Figure</w:t>
      </w:r>
      <w:r w:rsidRPr="006C3110">
        <w:rPr>
          <w:spacing w:val="-7"/>
        </w:rPr>
        <w:t xml:space="preserve"> 9</w:t>
      </w:r>
      <w:r w:rsidRPr="00983A47">
        <w:t>:</w:t>
      </w:r>
      <w:r w:rsidRPr="006C3110">
        <w:rPr>
          <w:spacing w:val="11"/>
        </w:rPr>
        <w:t xml:space="preserve"> </w:t>
      </w:r>
      <w:r w:rsidRPr="005C3969">
        <w:t>DTSP Cloud schematic architecture</w:t>
      </w:r>
      <w:r>
        <w:t>.</w:t>
      </w:r>
    </w:p>
    <w:p w14:paraId="009FC8CB" w14:textId="42FF1469" w:rsidR="006C3110" w:rsidRDefault="006C3110" w:rsidP="006C3110">
      <w:pPr>
        <w:pStyle w:val="Testua"/>
      </w:pPr>
      <w:r w:rsidRPr="00691618">
        <w:t>Depending on the needs of the application, it has been decided to use the Lambda service for code execution. On the other hand, the MySQL database is being used to store the results. Finally, a visualisation service (Amazon Quick Sight) is used, which will be connected to the database, so that the data obtained and stored can be visualised in real time.</w:t>
      </w:r>
    </w:p>
    <w:p w14:paraId="32571BE1" w14:textId="382960A2" w:rsidR="006C3110" w:rsidRDefault="006C3110" w:rsidP="006C3110">
      <w:pPr>
        <w:pStyle w:val="Ttulo1"/>
        <w:numPr>
          <w:ilvl w:val="0"/>
          <w:numId w:val="1"/>
        </w:numPr>
        <w:ind w:left="431" w:hanging="431"/>
      </w:pPr>
      <w:r>
        <w:t>Conclusions</w:t>
      </w:r>
    </w:p>
    <w:p w14:paraId="36D8049D" w14:textId="4F683D72" w:rsidR="00206023" w:rsidRDefault="006C3110" w:rsidP="006C3110">
      <w:pPr>
        <w:pStyle w:val="Testua"/>
      </w:pPr>
      <w:r w:rsidRPr="00242E32">
        <w:t>The electric</w:t>
      </w:r>
      <w:r>
        <w:t xml:space="preserve"> and</w:t>
      </w:r>
      <w:r w:rsidRPr="00242E32">
        <w:t xml:space="preserve"> thermal LIB models were validated under experimental data </w:t>
      </w:r>
      <w:r w:rsidR="00206023" w:rsidRPr="00206023">
        <w:t>obtained in laboratory tests in a DTSP framework at the cell level</w:t>
      </w:r>
      <w:r w:rsidRPr="00242E32">
        <w:t xml:space="preserve">. Results </w:t>
      </w:r>
      <w:r>
        <w:t xml:space="preserve">obtained </w:t>
      </w:r>
      <w:r w:rsidRPr="00242E32">
        <w:t xml:space="preserve">highlight the </w:t>
      </w:r>
      <w:r>
        <w:t>tight coupling among models. Thereby, i</w:t>
      </w:r>
      <w:r w:rsidRPr="00242E32">
        <w:t xml:space="preserve">n order to obtain a more precise model at a module level, it is not enough with extrapolating </w:t>
      </w:r>
      <w:r>
        <w:t xml:space="preserve">the </w:t>
      </w:r>
      <w:r w:rsidRPr="00242E32">
        <w:t xml:space="preserve">results of an average cell to the whole module. </w:t>
      </w:r>
    </w:p>
    <w:p w14:paraId="5636A9D4" w14:textId="153D170D" w:rsidR="006C3110" w:rsidRDefault="006C3110" w:rsidP="006C3110">
      <w:pPr>
        <w:pStyle w:val="Testua"/>
      </w:pPr>
      <w:r>
        <w:t xml:space="preserve">The DTSP framework here described takes advantage of extended cloud computation capabilities to </w:t>
      </w:r>
      <w:r w:rsidRPr="00242E32">
        <w:t>extrapolat</w:t>
      </w:r>
      <w:r>
        <w:t xml:space="preserve">e individual battery </w:t>
      </w:r>
      <w:r w:rsidRPr="00242E32">
        <w:t>models</w:t>
      </w:r>
      <w:r>
        <w:t xml:space="preserve"> </w:t>
      </w:r>
      <w:r w:rsidRPr="00242E32">
        <w:t>to a battery module level</w:t>
      </w:r>
      <w:r>
        <w:t>, ultimately allowing extended monitoring capabilities</w:t>
      </w:r>
      <w:r w:rsidRPr="00242E32">
        <w:t>.</w:t>
      </w:r>
      <w:r w:rsidR="00206023">
        <w:t xml:space="preserve"> </w:t>
      </w:r>
      <w:r w:rsidR="00206023" w:rsidRPr="00206023">
        <w:t>In addition, the devised validation platform, which aims to test the performance of the models to be implemented, is also presented. The process of implementing the module-level models described here is still ongoing. The results of the modelling approach and the validation results will be disseminated in future publications.</w:t>
      </w:r>
    </w:p>
    <w:p w14:paraId="5506DA5E" w14:textId="2E534AC1" w:rsidR="00A5346D" w:rsidRDefault="006A59B3">
      <w:pPr>
        <w:pStyle w:val="Heading1NoNum"/>
        <w:ind w:left="0"/>
      </w:pPr>
      <w:r>
        <w:t>References</w:t>
      </w:r>
    </w:p>
    <w:p w14:paraId="1C2C86CB" w14:textId="3941CDBA" w:rsidR="00D722F4" w:rsidRPr="00206023" w:rsidRDefault="004E2711" w:rsidP="00D722F4">
      <w:pPr>
        <w:widowControl w:val="0"/>
        <w:autoSpaceDE w:val="0"/>
        <w:autoSpaceDN w:val="0"/>
        <w:adjustRightInd w:val="0"/>
        <w:ind w:left="640" w:hanging="640"/>
        <w:rPr>
          <w:noProof/>
          <w:sz w:val="19"/>
          <w:szCs w:val="19"/>
        </w:rPr>
      </w:pPr>
      <w:r>
        <w:fldChar w:fldCharType="begin" w:fldLock="1"/>
      </w:r>
      <w:r>
        <w:instrText xml:space="preserve">ADDIN Mendeley Bibliography CSL_BIBLIOGRAPHY </w:instrText>
      </w:r>
      <w:r>
        <w:fldChar w:fldCharType="separate"/>
      </w:r>
      <w:r w:rsidR="00D722F4" w:rsidRPr="00D722F4">
        <w:rPr>
          <w:noProof/>
          <w:sz w:val="20"/>
        </w:rPr>
        <w:t>[1]</w:t>
      </w:r>
      <w:r w:rsidR="00D722F4" w:rsidRPr="00D722F4">
        <w:rPr>
          <w:noProof/>
          <w:sz w:val="20"/>
        </w:rPr>
        <w:tab/>
      </w:r>
      <w:r w:rsidR="00D722F4" w:rsidRPr="00206023">
        <w:rPr>
          <w:rStyle w:val="BibliografiaCar"/>
          <w:szCs w:val="19"/>
        </w:rPr>
        <w:t xml:space="preserve">J. M. </w:t>
      </w:r>
      <w:proofErr w:type="spellStart"/>
      <w:r w:rsidR="00D722F4" w:rsidRPr="00206023">
        <w:rPr>
          <w:rStyle w:val="BibliografiaCar"/>
          <w:szCs w:val="19"/>
        </w:rPr>
        <w:t>Reniers</w:t>
      </w:r>
      <w:proofErr w:type="spellEnd"/>
      <w:r w:rsidR="00D722F4" w:rsidRPr="00206023">
        <w:rPr>
          <w:rStyle w:val="BibliografiaCar"/>
          <w:szCs w:val="19"/>
        </w:rPr>
        <w:t xml:space="preserve">, G. Mulder, and D. A. Howey, “Review and Performance Comparison of Mechanical-Chemical Degradation Models for Lithium-Ion Batteries,” J. </w:t>
      </w:r>
      <w:proofErr w:type="spellStart"/>
      <w:r w:rsidR="00D722F4" w:rsidRPr="00206023">
        <w:rPr>
          <w:rStyle w:val="BibliografiaCar"/>
          <w:szCs w:val="19"/>
        </w:rPr>
        <w:t>Electrochem</w:t>
      </w:r>
      <w:proofErr w:type="spellEnd"/>
      <w:r w:rsidR="00D722F4" w:rsidRPr="00206023">
        <w:rPr>
          <w:rStyle w:val="BibliografiaCar"/>
          <w:szCs w:val="19"/>
        </w:rPr>
        <w:t xml:space="preserve">. Soc., vol. 166, no. 14, pp. A3189–A3200, Sep. 2019, </w:t>
      </w:r>
      <w:proofErr w:type="spellStart"/>
      <w:r w:rsidR="00D722F4" w:rsidRPr="00206023">
        <w:rPr>
          <w:rStyle w:val="BibliografiaCar"/>
          <w:szCs w:val="19"/>
        </w:rPr>
        <w:t>doi</w:t>
      </w:r>
      <w:proofErr w:type="spellEnd"/>
      <w:r w:rsidR="00D722F4" w:rsidRPr="00206023">
        <w:rPr>
          <w:rStyle w:val="BibliografiaCar"/>
          <w:szCs w:val="19"/>
        </w:rPr>
        <w:t>: 10.1149/2.0281914jes.</w:t>
      </w:r>
    </w:p>
    <w:p w14:paraId="733BD696" w14:textId="77777777" w:rsidR="00D722F4" w:rsidRPr="00D722F4" w:rsidRDefault="00D722F4" w:rsidP="00D722F4">
      <w:pPr>
        <w:widowControl w:val="0"/>
        <w:autoSpaceDE w:val="0"/>
        <w:autoSpaceDN w:val="0"/>
        <w:adjustRightInd w:val="0"/>
        <w:ind w:left="640" w:hanging="640"/>
        <w:rPr>
          <w:noProof/>
          <w:sz w:val="20"/>
        </w:rPr>
      </w:pPr>
      <w:r w:rsidRPr="00D722F4">
        <w:rPr>
          <w:noProof/>
          <w:sz w:val="20"/>
        </w:rPr>
        <w:t>[2]</w:t>
      </w:r>
      <w:r w:rsidRPr="00D722F4">
        <w:rPr>
          <w:noProof/>
          <w:sz w:val="20"/>
        </w:rPr>
        <w:tab/>
        <w:t xml:space="preserve">M. Lucu, E. Martinez-Laserna, I. Gandiaga, and H. Camblong, “A critical review on self-adaptive Li-ion battery ageing models,” </w:t>
      </w:r>
      <w:r w:rsidRPr="00D722F4">
        <w:rPr>
          <w:i/>
          <w:iCs/>
          <w:noProof/>
          <w:sz w:val="20"/>
        </w:rPr>
        <w:t>J. Power Sources</w:t>
      </w:r>
      <w:r w:rsidRPr="00D722F4">
        <w:rPr>
          <w:noProof/>
          <w:sz w:val="20"/>
        </w:rPr>
        <w:t>, vol. 401, no. March, pp. 85–101, 2018, doi: 10.1016/j.jpowsour.2018.08.064.</w:t>
      </w:r>
    </w:p>
    <w:p w14:paraId="59A42536" w14:textId="77777777" w:rsidR="00D722F4" w:rsidRPr="00D722F4" w:rsidRDefault="00D722F4" w:rsidP="00D722F4">
      <w:pPr>
        <w:widowControl w:val="0"/>
        <w:autoSpaceDE w:val="0"/>
        <w:autoSpaceDN w:val="0"/>
        <w:adjustRightInd w:val="0"/>
        <w:ind w:left="640" w:hanging="640"/>
        <w:rPr>
          <w:noProof/>
          <w:sz w:val="20"/>
        </w:rPr>
      </w:pPr>
      <w:r w:rsidRPr="00D722F4">
        <w:rPr>
          <w:noProof/>
          <w:sz w:val="20"/>
        </w:rPr>
        <w:t>[3]</w:t>
      </w:r>
      <w:r w:rsidRPr="00D722F4">
        <w:rPr>
          <w:noProof/>
          <w:sz w:val="20"/>
        </w:rPr>
        <w:tab/>
        <w:t xml:space="preserve">B. Wu, W. D. Widanage, S. Yang, and X. Liu, “Battery digital twins: Perspectives on the fusion of models, data and artificial intelligence for smart battery management systems,” </w:t>
      </w:r>
      <w:r w:rsidRPr="00D722F4">
        <w:rPr>
          <w:i/>
          <w:iCs/>
          <w:noProof/>
          <w:sz w:val="20"/>
        </w:rPr>
        <w:t>Energy AI</w:t>
      </w:r>
      <w:r w:rsidRPr="00D722F4">
        <w:rPr>
          <w:noProof/>
          <w:sz w:val="20"/>
        </w:rPr>
        <w:t>, vol. 1, p. 100016, 2020, doi: 10.1016/j.egyai.2020.100016.</w:t>
      </w:r>
    </w:p>
    <w:p w14:paraId="0934780A" w14:textId="77777777" w:rsidR="00D722F4" w:rsidRPr="00D722F4" w:rsidRDefault="00D722F4" w:rsidP="00D722F4">
      <w:pPr>
        <w:widowControl w:val="0"/>
        <w:autoSpaceDE w:val="0"/>
        <w:autoSpaceDN w:val="0"/>
        <w:adjustRightInd w:val="0"/>
        <w:ind w:left="640" w:hanging="640"/>
        <w:rPr>
          <w:noProof/>
          <w:sz w:val="20"/>
        </w:rPr>
      </w:pPr>
      <w:r w:rsidRPr="00D722F4">
        <w:rPr>
          <w:noProof/>
          <w:sz w:val="20"/>
        </w:rPr>
        <w:t>[4]</w:t>
      </w:r>
      <w:r w:rsidRPr="00D722F4">
        <w:rPr>
          <w:noProof/>
          <w:sz w:val="20"/>
        </w:rPr>
        <w:tab/>
        <w:t xml:space="preserve">O. Lizaso-Eguileta, E. Martinez-Laserna, M. Rivas, E. Miguel, U. Iraola, and I. Cantero, “Module-Level Modelling Approach for a Cloudbased Digital Twin Platform for Li-Ion Batteries,” </w:t>
      </w:r>
      <w:r w:rsidRPr="00D722F4">
        <w:rPr>
          <w:i/>
          <w:iCs/>
          <w:noProof/>
          <w:sz w:val="20"/>
        </w:rPr>
        <w:t>2021 IEEE Veh. Power Propuls. Conf. VPPC 2021 - Proc.</w:t>
      </w:r>
      <w:r w:rsidRPr="00D722F4">
        <w:rPr>
          <w:noProof/>
          <w:sz w:val="20"/>
        </w:rPr>
        <w:t>, 2021, doi: 10.1109/VPPC53923.2021.9699271.</w:t>
      </w:r>
    </w:p>
    <w:p w14:paraId="3CEDCEEE" w14:textId="77777777" w:rsidR="00D722F4" w:rsidRPr="00D722F4" w:rsidRDefault="00D722F4" w:rsidP="00D722F4">
      <w:pPr>
        <w:widowControl w:val="0"/>
        <w:autoSpaceDE w:val="0"/>
        <w:autoSpaceDN w:val="0"/>
        <w:adjustRightInd w:val="0"/>
        <w:ind w:left="640" w:hanging="640"/>
        <w:rPr>
          <w:noProof/>
          <w:sz w:val="20"/>
        </w:rPr>
      </w:pPr>
      <w:r w:rsidRPr="00D722F4">
        <w:rPr>
          <w:noProof/>
          <w:sz w:val="20"/>
        </w:rPr>
        <w:t>[5]</w:t>
      </w:r>
      <w:r w:rsidRPr="00D722F4">
        <w:rPr>
          <w:noProof/>
          <w:sz w:val="20"/>
        </w:rPr>
        <w:tab/>
        <w:t xml:space="preserve">D. Gong, Y. Gao, and Y. Kou, “Parameter and State of Charge Estimation Simultaneously for Lithium-Ion Battery Based on Improved Open Circuit Voltage Estimation Method,” </w:t>
      </w:r>
      <w:r w:rsidRPr="00D722F4">
        <w:rPr>
          <w:i/>
          <w:iCs/>
          <w:noProof/>
          <w:sz w:val="20"/>
        </w:rPr>
        <w:t>Energy Technol.</w:t>
      </w:r>
      <w:r w:rsidRPr="00D722F4">
        <w:rPr>
          <w:noProof/>
          <w:sz w:val="20"/>
        </w:rPr>
        <w:t>, vol. 9, no. 9, pp. 1–18, 2021, doi: 10.1002/ente.202100235.</w:t>
      </w:r>
    </w:p>
    <w:p w14:paraId="0A285C40" w14:textId="77777777" w:rsidR="00D722F4" w:rsidRPr="00D722F4" w:rsidRDefault="00D722F4" w:rsidP="00D722F4">
      <w:pPr>
        <w:widowControl w:val="0"/>
        <w:autoSpaceDE w:val="0"/>
        <w:autoSpaceDN w:val="0"/>
        <w:adjustRightInd w:val="0"/>
        <w:ind w:left="640" w:hanging="640"/>
        <w:rPr>
          <w:noProof/>
          <w:sz w:val="20"/>
        </w:rPr>
      </w:pPr>
      <w:r w:rsidRPr="00D722F4">
        <w:rPr>
          <w:noProof/>
          <w:sz w:val="20"/>
        </w:rPr>
        <w:t>[6]</w:t>
      </w:r>
      <w:r w:rsidRPr="00D722F4">
        <w:rPr>
          <w:noProof/>
          <w:sz w:val="20"/>
        </w:rPr>
        <w:tab/>
        <w:t xml:space="preserve">C. Forgez, D. Vinh Do, G. Friedrich, M. Morcrette, and C. Delacourt, “Thermal modeling of a cylindrical LiFePO4/graphite lithium-ion battery,” </w:t>
      </w:r>
      <w:r w:rsidRPr="00D722F4">
        <w:rPr>
          <w:i/>
          <w:iCs/>
          <w:noProof/>
          <w:sz w:val="20"/>
        </w:rPr>
        <w:t>J. Power Sources</w:t>
      </w:r>
      <w:r w:rsidRPr="00D722F4">
        <w:rPr>
          <w:noProof/>
          <w:sz w:val="20"/>
        </w:rPr>
        <w:t>, vol. 195, no. 9, pp. 2961–2968, May 2010, doi: 10.1016/j.jpowsour.2009.10.105.</w:t>
      </w:r>
    </w:p>
    <w:p w14:paraId="4967CA48" w14:textId="77777777" w:rsidR="00D722F4" w:rsidRPr="00D722F4" w:rsidRDefault="00D722F4" w:rsidP="00D722F4">
      <w:pPr>
        <w:widowControl w:val="0"/>
        <w:autoSpaceDE w:val="0"/>
        <w:autoSpaceDN w:val="0"/>
        <w:adjustRightInd w:val="0"/>
        <w:ind w:left="640" w:hanging="640"/>
        <w:rPr>
          <w:noProof/>
          <w:sz w:val="20"/>
        </w:rPr>
      </w:pPr>
      <w:r w:rsidRPr="00D722F4">
        <w:rPr>
          <w:noProof/>
          <w:sz w:val="20"/>
        </w:rPr>
        <w:t>[7]</w:t>
      </w:r>
      <w:r w:rsidRPr="00D722F4">
        <w:rPr>
          <w:noProof/>
          <w:sz w:val="20"/>
        </w:rPr>
        <w:tab/>
        <w:t xml:space="preserve">G. L. Plett, “Sigma-point Kalman filtering for battery management systems of LiPB-based HEV battery packs - Part 2: Simultaneous state and parameter estimation,” </w:t>
      </w:r>
      <w:r w:rsidRPr="00D722F4">
        <w:rPr>
          <w:i/>
          <w:iCs/>
          <w:noProof/>
          <w:sz w:val="20"/>
        </w:rPr>
        <w:t>J. Power Sources</w:t>
      </w:r>
      <w:r w:rsidRPr="00D722F4">
        <w:rPr>
          <w:noProof/>
          <w:sz w:val="20"/>
        </w:rPr>
        <w:t>, vol. 161, no. 2, pp. 1369–1384, Oct. 2006, doi: 10.1016/j.jpowsour.2006.06.004.</w:t>
      </w:r>
    </w:p>
    <w:p w14:paraId="2DC80D7D" w14:textId="77777777" w:rsidR="00D722F4" w:rsidRPr="00D722F4" w:rsidRDefault="00D722F4" w:rsidP="00D722F4">
      <w:pPr>
        <w:widowControl w:val="0"/>
        <w:autoSpaceDE w:val="0"/>
        <w:autoSpaceDN w:val="0"/>
        <w:adjustRightInd w:val="0"/>
        <w:ind w:left="640" w:hanging="640"/>
        <w:rPr>
          <w:noProof/>
          <w:sz w:val="20"/>
        </w:rPr>
      </w:pPr>
      <w:r w:rsidRPr="00D722F4">
        <w:rPr>
          <w:noProof/>
          <w:sz w:val="20"/>
        </w:rPr>
        <w:t>[8]</w:t>
      </w:r>
      <w:r w:rsidRPr="00D722F4">
        <w:rPr>
          <w:noProof/>
          <w:sz w:val="20"/>
        </w:rPr>
        <w:tab/>
        <w:t xml:space="preserve">G. L. Plett, “Sigma-point Kalman filtering for battery management systems of LiPB-based HEV battery packs. Part 1: Introduction and state estimation,” </w:t>
      </w:r>
      <w:r w:rsidRPr="00D722F4">
        <w:rPr>
          <w:i/>
          <w:iCs/>
          <w:noProof/>
          <w:sz w:val="20"/>
        </w:rPr>
        <w:t>J. Power Sources</w:t>
      </w:r>
      <w:r w:rsidRPr="00D722F4">
        <w:rPr>
          <w:noProof/>
          <w:sz w:val="20"/>
        </w:rPr>
        <w:t>, vol. 161, no. 2, pp. 1356–1368, 2006, doi: 10.1016/j.jpowsour.2006.06.003.</w:t>
      </w:r>
    </w:p>
    <w:p w14:paraId="6EBA4C60" w14:textId="77777777" w:rsidR="00D722F4" w:rsidRPr="00D722F4" w:rsidRDefault="00D722F4" w:rsidP="00D722F4">
      <w:pPr>
        <w:widowControl w:val="0"/>
        <w:autoSpaceDE w:val="0"/>
        <w:autoSpaceDN w:val="0"/>
        <w:adjustRightInd w:val="0"/>
        <w:ind w:left="640" w:hanging="640"/>
        <w:rPr>
          <w:noProof/>
          <w:sz w:val="20"/>
        </w:rPr>
      </w:pPr>
      <w:r w:rsidRPr="00D722F4">
        <w:rPr>
          <w:noProof/>
          <w:sz w:val="20"/>
        </w:rPr>
        <w:t>[9]</w:t>
      </w:r>
      <w:r w:rsidRPr="00D722F4">
        <w:rPr>
          <w:noProof/>
          <w:sz w:val="20"/>
        </w:rPr>
        <w:tab/>
        <w:t xml:space="preserve">N. Nieto </w:t>
      </w:r>
      <w:r w:rsidRPr="00D722F4">
        <w:rPr>
          <w:i/>
          <w:iCs/>
          <w:noProof/>
          <w:sz w:val="20"/>
        </w:rPr>
        <w:t>et al.</w:t>
      </w:r>
      <w:r w:rsidRPr="00D722F4">
        <w:rPr>
          <w:noProof/>
          <w:sz w:val="20"/>
        </w:rPr>
        <w:t xml:space="preserve">, “Thermal Modeling of Large Format Lithium-Ion Cells,” </w:t>
      </w:r>
      <w:r w:rsidRPr="00D722F4">
        <w:rPr>
          <w:i/>
          <w:iCs/>
          <w:noProof/>
          <w:sz w:val="20"/>
        </w:rPr>
        <w:t>J. Electrochem. Soc.</w:t>
      </w:r>
      <w:r w:rsidRPr="00D722F4">
        <w:rPr>
          <w:noProof/>
          <w:sz w:val="20"/>
        </w:rPr>
        <w:t>, vol. 160, no. 2, pp. A212–A217, Nov. 2013, doi: 10.1149/2.042302jes.</w:t>
      </w:r>
    </w:p>
    <w:p w14:paraId="2991EA2B" w14:textId="693E7390" w:rsidR="004E2711" w:rsidRDefault="00D722F4" w:rsidP="00D722F4">
      <w:pPr>
        <w:widowControl w:val="0"/>
        <w:autoSpaceDE w:val="0"/>
        <w:autoSpaceDN w:val="0"/>
        <w:adjustRightInd w:val="0"/>
        <w:ind w:left="640" w:hanging="640"/>
      </w:pPr>
      <w:r w:rsidRPr="00D722F4">
        <w:rPr>
          <w:noProof/>
          <w:sz w:val="20"/>
        </w:rPr>
        <w:t>[10]</w:t>
      </w:r>
      <w:r w:rsidRPr="00D722F4">
        <w:rPr>
          <w:noProof/>
          <w:sz w:val="20"/>
        </w:rPr>
        <w:tab/>
        <w:t>D. J. Becker, T. Wetzel, and D. Werner, “Thermal conductivity of Li-ion batteries and their electrode con fi gurations e A novel combination of modelling and experimental approach,” vol. 364, pp. 72–83, 2017, doi: 10.1016/j.jpowsour.2017.07.105.</w:t>
      </w:r>
      <w:r w:rsidR="004E2711">
        <w:fldChar w:fldCharType="end"/>
      </w:r>
    </w:p>
    <w:p w14:paraId="0DA38DD7" w14:textId="77777777" w:rsidR="00A5346D" w:rsidRDefault="006A59B3">
      <w:pPr>
        <w:pStyle w:val="Heading1NoNum"/>
        <w:ind w:left="0"/>
      </w:pPr>
      <w:r>
        <w:t>Authors</w:t>
      </w:r>
    </w:p>
    <w:tbl>
      <w:tblPr>
        <w:tblW w:w="0" w:type="auto"/>
        <w:tblInd w:w="55" w:type="dxa"/>
        <w:tblBorders>
          <w:top w:val="dotted" w:sz="4" w:space="0" w:color="auto"/>
          <w:left w:val="dotted" w:sz="4" w:space="0" w:color="auto"/>
          <w:bottom w:val="dotted" w:sz="4" w:space="0" w:color="auto"/>
          <w:right w:val="dotted" w:sz="4" w:space="0" w:color="auto"/>
        </w:tblBorders>
        <w:tblLayout w:type="fixed"/>
        <w:tblCellMar>
          <w:top w:w="55" w:type="dxa"/>
          <w:left w:w="55" w:type="dxa"/>
          <w:bottom w:w="55" w:type="dxa"/>
          <w:right w:w="55" w:type="dxa"/>
        </w:tblCellMar>
        <w:tblLook w:val="0000" w:firstRow="0" w:lastRow="0" w:firstColumn="0" w:lastColumn="0" w:noHBand="0" w:noVBand="0"/>
      </w:tblPr>
      <w:tblGrid>
        <w:gridCol w:w="1414"/>
        <w:gridCol w:w="7655"/>
      </w:tblGrid>
      <w:tr w:rsidR="00A5346D" w14:paraId="1F6F70CC" w14:textId="77777777" w:rsidTr="00206023">
        <w:trPr>
          <w:trHeight w:val="1868"/>
        </w:trPr>
        <w:tc>
          <w:tcPr>
            <w:tcW w:w="1414" w:type="dxa"/>
            <w:shd w:val="clear" w:color="auto" w:fill="FFFFFF"/>
          </w:tcPr>
          <w:p w14:paraId="5685184B" w14:textId="283336A2" w:rsidR="00A5346D" w:rsidRDefault="006C3110">
            <w:pPr>
              <w:pStyle w:val="TableContents"/>
            </w:pPr>
            <w:r>
              <w:rPr>
                <w:noProof/>
              </w:rPr>
              <w:drawing>
                <wp:inline distT="0" distB="0" distL="0" distR="0" wp14:anchorId="6347C049" wp14:editId="6A7143CA">
                  <wp:extent cx="780415" cy="1078865"/>
                  <wp:effectExtent l="0" t="0" r="635" b="698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80415" cy="1078865"/>
                          </a:xfrm>
                          <a:prstGeom prst="rect">
                            <a:avLst/>
                          </a:prstGeom>
                          <a:noFill/>
                        </pic:spPr>
                      </pic:pic>
                    </a:graphicData>
                  </a:graphic>
                </wp:inline>
              </w:drawing>
            </w:r>
          </w:p>
        </w:tc>
        <w:tc>
          <w:tcPr>
            <w:tcW w:w="7655" w:type="dxa"/>
            <w:shd w:val="clear" w:color="auto" w:fill="FFFFFF"/>
          </w:tcPr>
          <w:p w14:paraId="4B01CF03" w14:textId="47F4F4D5" w:rsidR="006C3110" w:rsidRPr="00BF0ECE" w:rsidRDefault="006C3110" w:rsidP="006C3110">
            <w:pPr>
              <w:rPr>
                <w:sz w:val="19"/>
                <w:szCs w:val="19"/>
              </w:rPr>
            </w:pPr>
            <w:r w:rsidRPr="00636967">
              <w:rPr>
                <w:b/>
                <w:bCs/>
                <w:sz w:val="19"/>
                <w:szCs w:val="19"/>
              </w:rPr>
              <w:t>Olatz Lizaso</w:t>
            </w:r>
            <w:r w:rsidRPr="006C3110">
              <w:rPr>
                <w:sz w:val="19"/>
                <w:szCs w:val="19"/>
              </w:rPr>
              <w:t> received the B.Sc. in Renewable Energies Engineering and the M.Sc. in Integration of Renewable Energies in the Electric System from the University of the Basque Country (UPV/EHU), Spain, in 2018 and 2019, respectively. In 2019 she joined IKERLAN Technology Research Centre (BRTA), Arrasate-Mondragon, Spain, where she is currently working toward the PhD degree in the Energy Storage and Management department and in collaboration with the University of Mondragon (MU), Spain. Her research focuses on characterisation and modelling energy storage systems, particularly lithium-ion batteries, both at the cell and module levels</w:t>
            </w:r>
            <w:r w:rsidR="00636967">
              <w:rPr>
                <w:sz w:val="19"/>
                <w:szCs w:val="19"/>
              </w:rPr>
              <w:t>.</w:t>
            </w:r>
          </w:p>
        </w:tc>
      </w:tr>
      <w:tr w:rsidR="006C3110" w14:paraId="57CBD1B7" w14:textId="77777777" w:rsidTr="00433CE2">
        <w:trPr>
          <w:trHeight w:val="2117"/>
        </w:trPr>
        <w:tc>
          <w:tcPr>
            <w:tcW w:w="1414" w:type="dxa"/>
            <w:shd w:val="clear" w:color="auto" w:fill="FFFFFF"/>
          </w:tcPr>
          <w:p w14:paraId="1CE30143" w14:textId="162F599E" w:rsidR="006C3110" w:rsidRDefault="00636967">
            <w:pPr>
              <w:pStyle w:val="TableContents"/>
              <w:rPr>
                <w:noProof/>
                <w:lang w:val="en-US"/>
              </w:rPr>
            </w:pPr>
            <w:r>
              <w:rPr>
                <w:noProof/>
              </w:rPr>
              <w:drawing>
                <wp:inline distT="0" distB="0" distL="0" distR="0" wp14:anchorId="318DC5C3" wp14:editId="4C830571">
                  <wp:extent cx="747671" cy="1078865"/>
                  <wp:effectExtent l="0" t="0" r="0" b="698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747671" cy="1078865"/>
                          </a:xfrm>
                          <a:prstGeom prst="rect">
                            <a:avLst/>
                          </a:prstGeom>
                          <a:noFill/>
                        </pic:spPr>
                      </pic:pic>
                    </a:graphicData>
                  </a:graphic>
                </wp:inline>
              </w:drawing>
            </w:r>
          </w:p>
        </w:tc>
        <w:tc>
          <w:tcPr>
            <w:tcW w:w="7655" w:type="dxa"/>
            <w:shd w:val="clear" w:color="auto" w:fill="FFFFFF"/>
          </w:tcPr>
          <w:p w14:paraId="4BB41D10" w14:textId="1C94DD4B" w:rsidR="006C3110" w:rsidRPr="00BF0ECE" w:rsidRDefault="00636967" w:rsidP="00AF1B37">
            <w:pPr>
              <w:rPr>
                <w:sz w:val="19"/>
                <w:szCs w:val="19"/>
              </w:rPr>
            </w:pPr>
            <w:r w:rsidRPr="00636967">
              <w:rPr>
                <w:b/>
                <w:bCs/>
                <w:sz w:val="19"/>
                <w:szCs w:val="19"/>
              </w:rPr>
              <w:t>Dr. Egoitz Martinez-</w:t>
            </w:r>
            <w:proofErr w:type="spellStart"/>
            <w:r w:rsidRPr="00636967">
              <w:rPr>
                <w:b/>
                <w:bCs/>
                <w:sz w:val="19"/>
                <w:szCs w:val="19"/>
              </w:rPr>
              <w:t>Laserna</w:t>
            </w:r>
            <w:proofErr w:type="spellEnd"/>
            <w:r w:rsidRPr="00636967">
              <w:rPr>
                <w:sz w:val="19"/>
                <w:szCs w:val="19"/>
              </w:rPr>
              <w:t xml:space="preserve"> [M]: received his </w:t>
            </w:r>
            <w:proofErr w:type="spellStart"/>
            <w:proofErr w:type="gramStart"/>
            <w:r w:rsidRPr="00636967">
              <w:rPr>
                <w:sz w:val="19"/>
                <w:szCs w:val="19"/>
              </w:rPr>
              <w:t>M.Sc</w:t>
            </w:r>
            <w:proofErr w:type="spellEnd"/>
            <w:proofErr w:type="gramEnd"/>
            <w:r w:rsidRPr="00636967">
              <w:rPr>
                <w:sz w:val="19"/>
                <w:szCs w:val="19"/>
              </w:rPr>
              <w:t xml:space="preserve"> in Electronic Engineering from the University of Mondragon, Spain, in 2013. He joined the Energy Business Unit of IKERLAN Technological Research Centre, Spain, in 2013. He obtained his Ph.D. (Cum Laude) in Engineering with international merit in 2017, focused on 2nd life battery performance, sizing and integration. His research interests include electrochemical energy storage systems, electric vehicles, state estimation algorithms, energy management and BMS design. He has been </w:t>
            </w:r>
            <w:proofErr w:type="gramStart"/>
            <w:r w:rsidRPr="00636967">
              <w:rPr>
                <w:sz w:val="19"/>
                <w:szCs w:val="19"/>
              </w:rPr>
              <w:t>co-author</w:t>
            </w:r>
            <w:proofErr w:type="gramEnd"/>
            <w:r w:rsidRPr="00636967">
              <w:rPr>
                <w:sz w:val="19"/>
                <w:szCs w:val="19"/>
              </w:rPr>
              <w:t xml:space="preserve"> of various scientific publications and has contributed to multiple international conferences. Since 2020 he is the coordinator of the H2020-LC-BAT-10 project LIBERTY.</w:t>
            </w:r>
          </w:p>
        </w:tc>
      </w:tr>
      <w:tr w:rsidR="006C3110" w14:paraId="5488CF1B" w14:textId="77777777" w:rsidTr="00433CE2">
        <w:trPr>
          <w:trHeight w:val="2117"/>
        </w:trPr>
        <w:tc>
          <w:tcPr>
            <w:tcW w:w="1414" w:type="dxa"/>
            <w:shd w:val="clear" w:color="auto" w:fill="FFFFFF"/>
          </w:tcPr>
          <w:p w14:paraId="709BA745" w14:textId="77777777" w:rsidR="006C3110" w:rsidRDefault="006C3110">
            <w:pPr>
              <w:pStyle w:val="TableContents"/>
              <w:rPr>
                <w:noProof/>
                <w:lang w:val="en-US"/>
              </w:rPr>
            </w:pPr>
          </w:p>
        </w:tc>
        <w:tc>
          <w:tcPr>
            <w:tcW w:w="7655" w:type="dxa"/>
            <w:shd w:val="clear" w:color="auto" w:fill="FFFFFF"/>
          </w:tcPr>
          <w:p w14:paraId="1E6CF1E6" w14:textId="379ABA7C" w:rsidR="006C3110" w:rsidRPr="00BF0ECE" w:rsidRDefault="00636967" w:rsidP="00AF1B37">
            <w:pPr>
              <w:rPr>
                <w:sz w:val="19"/>
                <w:szCs w:val="19"/>
              </w:rPr>
            </w:pPr>
            <w:r>
              <w:rPr>
                <w:b/>
                <w:bCs/>
                <w:sz w:val="19"/>
                <w:szCs w:val="19"/>
              </w:rPr>
              <w:t xml:space="preserve">Eduardo Miguel </w:t>
            </w:r>
          </w:p>
        </w:tc>
      </w:tr>
      <w:tr w:rsidR="006C3110" w14:paraId="45645313" w14:textId="77777777" w:rsidTr="00433CE2">
        <w:trPr>
          <w:trHeight w:val="2117"/>
        </w:trPr>
        <w:tc>
          <w:tcPr>
            <w:tcW w:w="1414" w:type="dxa"/>
            <w:shd w:val="clear" w:color="auto" w:fill="FFFFFF"/>
          </w:tcPr>
          <w:p w14:paraId="56593015" w14:textId="7D033689" w:rsidR="006C3110" w:rsidRDefault="00636967">
            <w:pPr>
              <w:pStyle w:val="TableContents"/>
              <w:rPr>
                <w:noProof/>
                <w:lang w:val="en-US"/>
              </w:rPr>
            </w:pPr>
            <w:r>
              <w:rPr>
                <w:noProof/>
              </w:rPr>
              <w:drawing>
                <wp:inline distT="0" distB="0" distL="0" distR="0" wp14:anchorId="7F5012B6" wp14:editId="58CB158D">
                  <wp:extent cx="780415" cy="1073103"/>
                  <wp:effectExtent l="0" t="0" r="63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a:picLocks noChangeAspect="1" noChangeArrowheads="1"/>
                          </pic:cNvPicPr>
                        </pic:nvPicPr>
                        <pic:blipFill>
                          <a:blip r:embed="rId26" cstate="print">
                            <a:extLst>
                              <a:ext uri="{28A0092B-C50C-407E-A947-70E740481C1C}">
                                <a14:useLocalDpi xmlns:a14="http://schemas.microsoft.com/office/drawing/2010/main" val="0"/>
                              </a:ext>
                            </a:extLst>
                          </a:blip>
                          <a:stretch>
                            <a:fillRect/>
                          </a:stretch>
                        </pic:blipFill>
                        <pic:spPr bwMode="auto">
                          <a:xfrm>
                            <a:off x="0" y="0"/>
                            <a:ext cx="780415" cy="1073103"/>
                          </a:xfrm>
                          <a:prstGeom prst="rect">
                            <a:avLst/>
                          </a:prstGeom>
                          <a:noFill/>
                        </pic:spPr>
                      </pic:pic>
                    </a:graphicData>
                  </a:graphic>
                </wp:inline>
              </w:drawing>
            </w:r>
          </w:p>
        </w:tc>
        <w:tc>
          <w:tcPr>
            <w:tcW w:w="7655" w:type="dxa"/>
            <w:shd w:val="clear" w:color="auto" w:fill="FFFFFF"/>
          </w:tcPr>
          <w:p w14:paraId="3696771D" w14:textId="174EDC95" w:rsidR="006C3110" w:rsidRPr="00BF0ECE" w:rsidRDefault="00636967" w:rsidP="00AF1B37">
            <w:pPr>
              <w:rPr>
                <w:sz w:val="19"/>
                <w:szCs w:val="19"/>
              </w:rPr>
            </w:pPr>
            <w:r w:rsidRPr="00636967">
              <w:rPr>
                <w:b/>
                <w:bCs/>
                <w:sz w:val="19"/>
                <w:szCs w:val="19"/>
              </w:rPr>
              <w:t>Dr. Unai Iraola</w:t>
            </w:r>
            <w:r w:rsidRPr="00636967">
              <w:rPr>
                <w:sz w:val="19"/>
                <w:szCs w:val="19"/>
              </w:rPr>
              <w:t xml:space="preserve"> obtained his </w:t>
            </w:r>
            <w:proofErr w:type="gramStart"/>
            <w:r w:rsidRPr="00636967">
              <w:rPr>
                <w:sz w:val="19"/>
                <w:szCs w:val="19"/>
              </w:rPr>
              <w:t>Doctor</w:t>
            </w:r>
            <w:proofErr w:type="gramEnd"/>
            <w:r w:rsidRPr="00636967">
              <w:rPr>
                <w:sz w:val="19"/>
                <w:szCs w:val="19"/>
              </w:rPr>
              <w:t xml:space="preserve"> degree from Mondragon University in 07/2014 in the field of the electro-thermal optimization of battery-based energy storage systems for power applications. After defending his thesis work in 2014, Dr. Iraola continues working at the Faculty of Engineering of Mondragon University as a Research Professor. He is working both in private and public projects and he has supervised different PhD works until now. Dr. </w:t>
            </w:r>
            <w:proofErr w:type="spellStart"/>
            <w:r w:rsidRPr="00636967">
              <w:rPr>
                <w:sz w:val="19"/>
                <w:szCs w:val="19"/>
              </w:rPr>
              <w:t>Iraola´s</w:t>
            </w:r>
            <w:proofErr w:type="spellEnd"/>
            <w:r w:rsidRPr="00636967">
              <w:rPr>
                <w:sz w:val="19"/>
                <w:szCs w:val="19"/>
              </w:rPr>
              <w:t xml:space="preserve"> current research area focuses on energy storage systems technologies, mainly, lead acid, lithium-ion and solid-state batteries. His research is mainly focused on physics-based battery modeling and implementation within BMS systems with the objective of minimizing degradation via modular battery packs.</w:t>
            </w:r>
          </w:p>
        </w:tc>
      </w:tr>
      <w:tr w:rsidR="006C3110" w14:paraId="66EAF570" w14:textId="77777777" w:rsidTr="00433CE2">
        <w:trPr>
          <w:trHeight w:val="2117"/>
        </w:trPr>
        <w:tc>
          <w:tcPr>
            <w:tcW w:w="1414" w:type="dxa"/>
            <w:shd w:val="clear" w:color="auto" w:fill="FFFFFF"/>
          </w:tcPr>
          <w:p w14:paraId="1413CC16" w14:textId="77777777" w:rsidR="006C3110" w:rsidRDefault="006C3110">
            <w:pPr>
              <w:pStyle w:val="TableContents"/>
              <w:rPr>
                <w:noProof/>
                <w:lang w:val="en-US"/>
              </w:rPr>
            </w:pPr>
          </w:p>
        </w:tc>
        <w:tc>
          <w:tcPr>
            <w:tcW w:w="7655" w:type="dxa"/>
            <w:shd w:val="clear" w:color="auto" w:fill="FFFFFF"/>
          </w:tcPr>
          <w:p w14:paraId="568928B1" w14:textId="4EE981AC" w:rsidR="006C3110" w:rsidRPr="00BF0ECE" w:rsidRDefault="00636967" w:rsidP="00AF1B37">
            <w:pPr>
              <w:rPr>
                <w:sz w:val="19"/>
                <w:szCs w:val="19"/>
              </w:rPr>
            </w:pPr>
            <w:r>
              <w:rPr>
                <w:b/>
                <w:bCs/>
                <w:sz w:val="19"/>
                <w:szCs w:val="19"/>
              </w:rPr>
              <w:t>Igor Cantero</w:t>
            </w:r>
          </w:p>
        </w:tc>
      </w:tr>
    </w:tbl>
    <w:p w14:paraId="1146F943" w14:textId="77777777" w:rsidR="006A59B3" w:rsidRDefault="006A59B3"/>
    <w:sectPr w:rsidR="006A59B3" w:rsidSect="004E2E65">
      <w:headerReference w:type="even" r:id="rId27"/>
      <w:headerReference w:type="default" r:id="rId28"/>
      <w:footerReference w:type="even" r:id="rId29"/>
      <w:footerReference w:type="default" r:id="rId30"/>
      <w:pgSz w:w="12240" w:h="15840"/>
      <w:pgMar w:top="1701" w:right="1418" w:bottom="1701" w:left="1418" w:header="720" w:footer="113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C2F286" w14:textId="77777777" w:rsidR="002E6758" w:rsidRDefault="002E6758">
      <w:pPr>
        <w:spacing w:before="0" w:after="0"/>
      </w:pPr>
      <w:r>
        <w:separator/>
      </w:r>
    </w:p>
    <w:p w14:paraId="6A95D473" w14:textId="77777777" w:rsidR="00000000" w:rsidRDefault="00F40458"/>
  </w:endnote>
  <w:endnote w:type="continuationSeparator" w:id="0">
    <w:p w14:paraId="510E900B" w14:textId="77777777" w:rsidR="002E6758" w:rsidRDefault="002E6758">
      <w:pPr>
        <w:spacing w:before="0" w:after="0"/>
      </w:pPr>
      <w:r>
        <w:continuationSeparator/>
      </w:r>
    </w:p>
    <w:p w14:paraId="4C6899C6" w14:textId="77777777" w:rsidR="00000000" w:rsidRDefault="00F4045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LM Roman 10">
    <w:panose1 w:val="00000500000000000000"/>
    <w:charset w:val="00"/>
    <w:family w:val="modern"/>
    <w:notTrueType/>
    <w:pitch w:val="variable"/>
    <w:sig w:usb0="20000007" w:usb1="00000000" w:usb2="00000000" w:usb3="00000000" w:csb0="00000193"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Times">
    <w:panose1 w:val="02020603050405020304"/>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6BC182" w14:textId="77777777" w:rsidR="001A3A17" w:rsidRDefault="001A3A17">
    <w:pPr>
      <w:pStyle w:val="Piedepgina"/>
    </w:pPr>
  </w:p>
  <w:p w14:paraId="6FE0BA8D" w14:textId="77777777" w:rsidR="00000000" w:rsidRDefault="00F4045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E24C8F" w14:textId="77777777" w:rsidR="00A5346D" w:rsidRPr="006D66EA" w:rsidRDefault="001A3A17" w:rsidP="00AB08CC">
    <w:pPr>
      <w:pStyle w:val="Piedepgina"/>
      <w:pBdr>
        <w:left w:val="none" w:sz="0" w:space="9" w:color="000000"/>
      </w:pBdr>
      <w:tabs>
        <w:tab w:val="left" w:pos="8647"/>
      </w:tabs>
      <w:rPr>
        <w:rFonts w:ascii="Times" w:hAnsi="Times"/>
      </w:rPr>
    </w:pPr>
    <w:r>
      <w:rPr>
        <w:rFonts w:hint="eastAsia"/>
        <w:color w:val="545454"/>
        <w:szCs w:val="19"/>
      </w:rPr>
      <w:t>35</w:t>
    </w:r>
    <w:r w:rsidR="00AB08CC" w:rsidRPr="00AB08CC">
      <w:rPr>
        <w:rFonts w:hint="eastAsia"/>
        <w:color w:val="545454"/>
        <w:kern w:val="19"/>
        <w:szCs w:val="19"/>
        <w:vertAlign w:val="superscript"/>
      </w:rPr>
      <w:t>th</w:t>
    </w:r>
    <w:r w:rsidR="00AB08CC">
      <w:rPr>
        <w:rFonts w:hint="eastAsia"/>
        <w:color w:val="545454"/>
        <w:szCs w:val="19"/>
      </w:rPr>
      <w:t xml:space="preserve"> </w:t>
    </w:r>
    <w:r w:rsidR="00AB08CC" w:rsidRPr="00AB08CC">
      <w:rPr>
        <w:rFonts w:hint="eastAsia"/>
        <w:color w:val="545454"/>
        <w:szCs w:val="19"/>
      </w:rPr>
      <w:t>Internationa</w:t>
    </w:r>
    <w:r w:rsidR="00AB08CC">
      <w:rPr>
        <w:rFonts w:hint="eastAsia"/>
        <w:color w:val="545454"/>
        <w:szCs w:val="19"/>
      </w:rPr>
      <w:t>l Electric Vehicle Symposium and</w:t>
    </w:r>
    <w:r w:rsidR="00AB08CC" w:rsidRPr="00AB08CC">
      <w:rPr>
        <w:rFonts w:hint="eastAsia"/>
        <w:color w:val="545454"/>
        <w:szCs w:val="19"/>
      </w:rPr>
      <w:t xml:space="preserve"> Exhibition</w:t>
    </w:r>
    <w:r w:rsidR="006A59B3" w:rsidRPr="006D66EA">
      <w:rPr>
        <w:rFonts w:ascii="Times" w:hAnsi="Times"/>
      </w:rPr>
      <w:tab/>
    </w:r>
    <w:r w:rsidR="00244D6F" w:rsidRPr="006D66EA">
      <w:rPr>
        <w:rFonts w:ascii="Times" w:hAnsi="Times"/>
      </w:rPr>
      <w:fldChar w:fldCharType="begin"/>
    </w:r>
    <w:r w:rsidR="006A59B3" w:rsidRPr="006D66EA">
      <w:rPr>
        <w:rFonts w:ascii="Times" w:hAnsi="Times"/>
      </w:rPr>
      <w:instrText xml:space="preserve"> PAGE </w:instrText>
    </w:r>
    <w:r w:rsidR="00244D6F" w:rsidRPr="006D66EA">
      <w:rPr>
        <w:rFonts w:ascii="Times" w:hAnsi="Times"/>
      </w:rPr>
      <w:fldChar w:fldCharType="separate"/>
    </w:r>
    <w:r w:rsidR="00DF545E">
      <w:rPr>
        <w:rFonts w:ascii="Times" w:hAnsi="Times"/>
        <w:noProof/>
      </w:rPr>
      <w:t>3</w:t>
    </w:r>
    <w:r w:rsidR="00244D6F" w:rsidRPr="006D66EA">
      <w:rPr>
        <w:rFonts w:ascii="Times" w:hAnsi="Times"/>
      </w:rPr>
      <w:fldChar w:fldCharType="end"/>
    </w:r>
  </w:p>
  <w:p w14:paraId="6063EEA5" w14:textId="77777777" w:rsidR="00000000" w:rsidRDefault="00F4045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27B1B12" w14:textId="77777777" w:rsidR="002E6758" w:rsidRDefault="002E6758">
      <w:pPr>
        <w:spacing w:before="0" w:after="0"/>
      </w:pPr>
      <w:r>
        <w:separator/>
      </w:r>
    </w:p>
    <w:p w14:paraId="169203EF" w14:textId="77777777" w:rsidR="00000000" w:rsidRDefault="00F40458"/>
  </w:footnote>
  <w:footnote w:type="continuationSeparator" w:id="0">
    <w:p w14:paraId="66CD64AE" w14:textId="77777777" w:rsidR="002E6758" w:rsidRDefault="002E6758">
      <w:pPr>
        <w:spacing w:before="0" w:after="0"/>
      </w:pPr>
      <w:r>
        <w:continuationSeparator/>
      </w:r>
    </w:p>
    <w:p w14:paraId="75E6BB30" w14:textId="77777777" w:rsidR="00000000" w:rsidRDefault="00F4045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DC187B" w14:textId="77777777" w:rsidR="001A3A17" w:rsidRDefault="001A3A17">
    <w:pPr>
      <w:pStyle w:val="Encabezado"/>
    </w:pPr>
  </w:p>
  <w:p w14:paraId="10DF563D" w14:textId="77777777" w:rsidR="00000000" w:rsidRDefault="00F4045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5779C" w14:textId="77777777" w:rsidR="001A3A17" w:rsidRDefault="001A3A17">
    <w:pPr>
      <w:pStyle w:val="Encabezado"/>
    </w:pPr>
  </w:p>
  <w:p w14:paraId="59684B4D" w14:textId="77777777" w:rsidR="00000000" w:rsidRDefault="00F4045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Num1"/>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 w15:restartNumberingAfterBreak="0">
    <w:nsid w:val="00000002"/>
    <w:multiLevelType w:val="multilevel"/>
    <w:tmpl w:val="00000002"/>
    <w:name w:val="WWNum2"/>
    <w:lvl w:ilvl="0">
      <w:start w:val="1"/>
      <w:numFmt w:val="decimal"/>
      <w:lvlText w:val="%1"/>
      <w:lvlJc w:val="left"/>
      <w:pPr>
        <w:tabs>
          <w:tab w:val="num" w:pos="357"/>
        </w:tabs>
        <w:ind w:left="357" w:hanging="357"/>
      </w:pPr>
    </w:lvl>
    <w:lvl w:ilvl="1">
      <w:start w:val="1"/>
      <w:numFmt w:val="bullet"/>
      <w:lvlText w:val=""/>
      <w:lvlJc w:val="left"/>
      <w:pPr>
        <w:tabs>
          <w:tab w:val="num" w:pos="357"/>
        </w:tabs>
        <w:ind w:left="357" w:hanging="187"/>
      </w:pPr>
      <w:rPr>
        <w:rFonts w:ascii="Symbol" w:hAnsi="Symbol" w:cs="Symbol"/>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03"/>
    <w:multiLevelType w:val="multilevel"/>
    <w:tmpl w:val="00000003"/>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 w:numId="3">
    <w:abstractNumId w:val="2"/>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5"/>
  <w:displayHorizontalDrawingGridEvery w:val="0"/>
  <w:displayVerticalDrawingGridEvery w:val="0"/>
  <w:noPunctuationKerning/>
  <w:characterSpacingControl w:val="doNotCompress"/>
  <w:hdrShapeDefaults>
    <o:shapedefaults v:ext="edit" spidmax="2051"/>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6758"/>
    <w:rsid w:val="00002998"/>
    <w:rsid w:val="00062C25"/>
    <w:rsid w:val="00064BD2"/>
    <w:rsid w:val="000657CD"/>
    <w:rsid w:val="00092BA7"/>
    <w:rsid w:val="00097F2D"/>
    <w:rsid w:val="000E4D3D"/>
    <w:rsid w:val="00104C53"/>
    <w:rsid w:val="00126FF9"/>
    <w:rsid w:val="001630DD"/>
    <w:rsid w:val="001647DC"/>
    <w:rsid w:val="001A0AA3"/>
    <w:rsid w:val="001A3A17"/>
    <w:rsid w:val="001B0921"/>
    <w:rsid w:val="001C655F"/>
    <w:rsid w:val="001D652B"/>
    <w:rsid w:val="001E0711"/>
    <w:rsid w:val="001E4E47"/>
    <w:rsid w:val="001E6896"/>
    <w:rsid w:val="001E7ECC"/>
    <w:rsid w:val="001F6FB9"/>
    <w:rsid w:val="0020107D"/>
    <w:rsid w:val="00206023"/>
    <w:rsid w:val="00210F83"/>
    <w:rsid w:val="0023627E"/>
    <w:rsid w:val="00244D6F"/>
    <w:rsid w:val="002A2CD1"/>
    <w:rsid w:val="002B0800"/>
    <w:rsid w:val="002B351E"/>
    <w:rsid w:val="002E372D"/>
    <w:rsid w:val="002E6758"/>
    <w:rsid w:val="002F7FEB"/>
    <w:rsid w:val="003077CC"/>
    <w:rsid w:val="003144AD"/>
    <w:rsid w:val="003165A6"/>
    <w:rsid w:val="0032710C"/>
    <w:rsid w:val="0034473D"/>
    <w:rsid w:val="003D5806"/>
    <w:rsid w:val="003E47F2"/>
    <w:rsid w:val="003F31CD"/>
    <w:rsid w:val="004104EF"/>
    <w:rsid w:val="0043074C"/>
    <w:rsid w:val="00433CE2"/>
    <w:rsid w:val="00472108"/>
    <w:rsid w:val="0049225E"/>
    <w:rsid w:val="004A0A3F"/>
    <w:rsid w:val="004A2B22"/>
    <w:rsid w:val="004D5597"/>
    <w:rsid w:val="004E2711"/>
    <w:rsid w:val="004E2E65"/>
    <w:rsid w:val="004E6E5B"/>
    <w:rsid w:val="005C62A7"/>
    <w:rsid w:val="006069F0"/>
    <w:rsid w:val="00607066"/>
    <w:rsid w:val="00615452"/>
    <w:rsid w:val="00634DC0"/>
    <w:rsid w:val="00636967"/>
    <w:rsid w:val="006425A6"/>
    <w:rsid w:val="0065118D"/>
    <w:rsid w:val="00651B3F"/>
    <w:rsid w:val="006578CE"/>
    <w:rsid w:val="006A59B3"/>
    <w:rsid w:val="006B1AEE"/>
    <w:rsid w:val="006B3846"/>
    <w:rsid w:val="006C3110"/>
    <w:rsid w:val="006C4EE0"/>
    <w:rsid w:val="006D0184"/>
    <w:rsid w:val="006D5CED"/>
    <w:rsid w:val="006D66EA"/>
    <w:rsid w:val="007013A4"/>
    <w:rsid w:val="00762BD2"/>
    <w:rsid w:val="0076363E"/>
    <w:rsid w:val="00780D1F"/>
    <w:rsid w:val="00841A39"/>
    <w:rsid w:val="0085381B"/>
    <w:rsid w:val="00873403"/>
    <w:rsid w:val="00893C50"/>
    <w:rsid w:val="008A0E87"/>
    <w:rsid w:val="008A6B2F"/>
    <w:rsid w:val="008A754C"/>
    <w:rsid w:val="008C108B"/>
    <w:rsid w:val="008E6D88"/>
    <w:rsid w:val="008F05F7"/>
    <w:rsid w:val="00960CE5"/>
    <w:rsid w:val="0096710F"/>
    <w:rsid w:val="009D7C7B"/>
    <w:rsid w:val="009E3427"/>
    <w:rsid w:val="00A17946"/>
    <w:rsid w:val="00A5346D"/>
    <w:rsid w:val="00A72906"/>
    <w:rsid w:val="00A72E80"/>
    <w:rsid w:val="00A749F5"/>
    <w:rsid w:val="00A76ED9"/>
    <w:rsid w:val="00AB08CC"/>
    <w:rsid w:val="00AC77FB"/>
    <w:rsid w:val="00AD1615"/>
    <w:rsid w:val="00AD7023"/>
    <w:rsid w:val="00AF1B37"/>
    <w:rsid w:val="00AF2AB2"/>
    <w:rsid w:val="00B0569F"/>
    <w:rsid w:val="00B21BBB"/>
    <w:rsid w:val="00B34198"/>
    <w:rsid w:val="00B60024"/>
    <w:rsid w:val="00B77073"/>
    <w:rsid w:val="00BA209C"/>
    <w:rsid w:val="00BC34E7"/>
    <w:rsid w:val="00BE68A6"/>
    <w:rsid w:val="00BF0ECE"/>
    <w:rsid w:val="00C242DB"/>
    <w:rsid w:val="00C85B0E"/>
    <w:rsid w:val="00CA2691"/>
    <w:rsid w:val="00CA7FAD"/>
    <w:rsid w:val="00CD2C8D"/>
    <w:rsid w:val="00D138E0"/>
    <w:rsid w:val="00D22F5A"/>
    <w:rsid w:val="00D300E4"/>
    <w:rsid w:val="00D31F92"/>
    <w:rsid w:val="00D365A6"/>
    <w:rsid w:val="00D52011"/>
    <w:rsid w:val="00D53A60"/>
    <w:rsid w:val="00D6615A"/>
    <w:rsid w:val="00D722F4"/>
    <w:rsid w:val="00DC67C1"/>
    <w:rsid w:val="00DE0801"/>
    <w:rsid w:val="00DF106E"/>
    <w:rsid w:val="00DF3CCA"/>
    <w:rsid w:val="00DF545E"/>
    <w:rsid w:val="00E33F3C"/>
    <w:rsid w:val="00E3735F"/>
    <w:rsid w:val="00E6219B"/>
    <w:rsid w:val="00E726D5"/>
    <w:rsid w:val="00E927AD"/>
    <w:rsid w:val="00EA132B"/>
    <w:rsid w:val="00EB4B02"/>
    <w:rsid w:val="00EE56AD"/>
    <w:rsid w:val="00EE6AB9"/>
    <w:rsid w:val="00F012DB"/>
    <w:rsid w:val="00F2107F"/>
    <w:rsid w:val="00F40458"/>
    <w:rsid w:val="00FA22EC"/>
    <w:rsid w:val="00FA38D3"/>
    <w:rsid w:val="00FA4293"/>
    <w:rsid w:val="00FC3C14"/>
    <w:rsid w:val="00FC5FFA"/>
    <w:rsid w:val="00FD4A75"/>
    <w:rsid w:val="00FE2DC9"/>
    <w:rsid w:val="00FE79D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oNotEmbedSmartTags/>
  <w:decimalSymbol w:val=","/>
  <w:listSeparator w:val=";"/>
  <w14:docId w14:val="4D731F53"/>
  <w15:docId w15:val="{FCE6EF50-FD09-4599-895E-F860BD5E35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5381B"/>
    <w:pPr>
      <w:suppressAutoHyphens/>
      <w:spacing w:before="120" w:after="120"/>
      <w:jc w:val="both"/>
    </w:pPr>
    <w:rPr>
      <w:color w:val="00000A"/>
      <w:kern w:val="1"/>
      <w:sz w:val="21"/>
      <w:szCs w:val="24"/>
      <w:lang w:val="en-GB" w:eastAsia="zh-CN"/>
    </w:rPr>
  </w:style>
  <w:style w:type="paragraph" w:styleId="Ttulo1">
    <w:name w:val="heading 1"/>
    <w:basedOn w:val="Normal"/>
    <w:next w:val="Normal"/>
    <w:qFormat/>
    <w:rsid w:val="0085381B"/>
    <w:pPr>
      <w:keepNext/>
      <w:spacing w:before="240"/>
      <w:ind w:left="431" w:hanging="431"/>
      <w:outlineLvl w:val="0"/>
    </w:pPr>
    <w:rPr>
      <w:b/>
      <w:sz w:val="28"/>
      <w:szCs w:val="32"/>
    </w:rPr>
  </w:style>
  <w:style w:type="paragraph" w:styleId="Ttulo2">
    <w:name w:val="heading 2"/>
    <w:basedOn w:val="Normal"/>
    <w:next w:val="Normal"/>
    <w:qFormat/>
    <w:rsid w:val="0085381B"/>
    <w:pPr>
      <w:keepNext/>
      <w:spacing w:before="240" w:after="60"/>
      <w:outlineLvl w:val="1"/>
    </w:pPr>
    <w:rPr>
      <w:b/>
      <w:sz w:val="24"/>
      <w:szCs w:val="28"/>
    </w:rPr>
  </w:style>
  <w:style w:type="paragraph" w:styleId="Ttulo3">
    <w:name w:val="heading 3"/>
    <w:basedOn w:val="Normal"/>
    <w:next w:val="Normal"/>
    <w:uiPriority w:val="9"/>
    <w:qFormat/>
    <w:rsid w:val="0085381B"/>
    <w:pPr>
      <w:keepNext/>
      <w:spacing w:before="240" w:after="60"/>
      <w:outlineLvl w:val="2"/>
    </w:pPr>
    <w:rPr>
      <w:b/>
      <w:szCs w:val="26"/>
    </w:rPr>
  </w:style>
  <w:style w:type="paragraph" w:styleId="Ttulo4">
    <w:name w:val="heading 4"/>
    <w:basedOn w:val="Normal"/>
    <w:next w:val="Normal"/>
    <w:qFormat/>
    <w:rsid w:val="0085381B"/>
    <w:pPr>
      <w:keepNext/>
      <w:spacing w:before="240" w:after="60"/>
      <w:outlineLvl w:val="3"/>
    </w:pPr>
    <w:rPr>
      <w:b/>
      <w:sz w:val="28"/>
      <w:szCs w:val="28"/>
    </w:rPr>
  </w:style>
  <w:style w:type="paragraph" w:styleId="Ttulo5">
    <w:name w:val="heading 5"/>
    <w:basedOn w:val="Normal"/>
    <w:next w:val="Normal"/>
    <w:qFormat/>
    <w:rsid w:val="0085381B"/>
    <w:pPr>
      <w:spacing w:before="240" w:after="60"/>
      <w:outlineLvl w:val="4"/>
    </w:pPr>
    <w:rPr>
      <w:b/>
      <w:i/>
      <w:sz w:val="26"/>
      <w:szCs w:val="26"/>
    </w:rPr>
  </w:style>
  <w:style w:type="paragraph" w:styleId="Ttulo6">
    <w:name w:val="heading 6"/>
    <w:basedOn w:val="Normal"/>
    <w:next w:val="Normal"/>
    <w:qFormat/>
    <w:rsid w:val="0085381B"/>
    <w:pPr>
      <w:spacing w:before="240" w:after="60"/>
      <w:outlineLvl w:val="5"/>
    </w:pPr>
    <w:rPr>
      <w:b/>
      <w:sz w:val="22"/>
      <w:szCs w:val="22"/>
    </w:rPr>
  </w:style>
  <w:style w:type="paragraph" w:styleId="Ttulo7">
    <w:name w:val="heading 7"/>
    <w:basedOn w:val="Normal"/>
    <w:next w:val="Normal"/>
    <w:qFormat/>
    <w:rsid w:val="0085381B"/>
    <w:pPr>
      <w:spacing w:before="240" w:after="60"/>
      <w:outlineLvl w:val="6"/>
    </w:pPr>
    <w:rPr>
      <w:sz w:val="24"/>
    </w:rPr>
  </w:style>
  <w:style w:type="paragraph" w:styleId="Ttulo8">
    <w:name w:val="heading 8"/>
    <w:basedOn w:val="Normal"/>
    <w:next w:val="Normal"/>
    <w:qFormat/>
    <w:rsid w:val="0085381B"/>
    <w:pPr>
      <w:spacing w:before="240" w:after="60"/>
      <w:outlineLvl w:val="7"/>
    </w:pPr>
    <w:rPr>
      <w:i/>
      <w:sz w:val="24"/>
    </w:rPr>
  </w:style>
  <w:style w:type="paragraph" w:styleId="Ttulo9">
    <w:name w:val="heading 9"/>
    <w:basedOn w:val="Normal"/>
    <w:next w:val="Normal"/>
    <w:qFormat/>
    <w:rsid w:val="0085381B"/>
    <w:pPr>
      <w:spacing w:before="240" w:after="60"/>
      <w:outlineLvl w:val="8"/>
    </w:pPr>
    <w:rPr>
      <w:rFonts w:ascii="Helvetica" w:hAnsi="Helvetica" w:cs="Helvetica"/>
      <w:sz w:val="22"/>
      <w:szCs w:val="22"/>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sid w:val="0085381B"/>
  </w:style>
  <w:style w:type="character" w:customStyle="1" w:styleId="WW8Num2z0">
    <w:name w:val="WW8Num2z0"/>
    <w:rsid w:val="0085381B"/>
  </w:style>
  <w:style w:type="character" w:customStyle="1" w:styleId="WW8Num2z1">
    <w:name w:val="WW8Num2z1"/>
    <w:rsid w:val="0085381B"/>
  </w:style>
  <w:style w:type="character" w:customStyle="1" w:styleId="WW8Num2z2">
    <w:name w:val="WW8Num2z2"/>
    <w:rsid w:val="0085381B"/>
  </w:style>
  <w:style w:type="character" w:customStyle="1" w:styleId="WW8Num2z3">
    <w:name w:val="WW8Num2z3"/>
    <w:rsid w:val="0085381B"/>
  </w:style>
  <w:style w:type="character" w:customStyle="1" w:styleId="WW8Num2z4">
    <w:name w:val="WW8Num2z4"/>
    <w:rsid w:val="0085381B"/>
  </w:style>
  <w:style w:type="character" w:customStyle="1" w:styleId="WW8Num2z5">
    <w:name w:val="WW8Num2z5"/>
    <w:rsid w:val="0085381B"/>
  </w:style>
  <w:style w:type="character" w:customStyle="1" w:styleId="WW8Num2z6">
    <w:name w:val="WW8Num2z6"/>
    <w:rsid w:val="0085381B"/>
  </w:style>
  <w:style w:type="character" w:customStyle="1" w:styleId="WW8Num2z7">
    <w:name w:val="WW8Num2z7"/>
    <w:rsid w:val="0085381B"/>
  </w:style>
  <w:style w:type="character" w:customStyle="1" w:styleId="WW8Num2z8">
    <w:name w:val="WW8Num2z8"/>
    <w:rsid w:val="0085381B"/>
  </w:style>
  <w:style w:type="character" w:customStyle="1" w:styleId="WW8Num3z0">
    <w:name w:val="WW8Num3z0"/>
    <w:rsid w:val="0085381B"/>
  </w:style>
  <w:style w:type="character" w:customStyle="1" w:styleId="WW8Num4z0">
    <w:name w:val="WW8Num4z0"/>
    <w:rsid w:val="0085381B"/>
  </w:style>
  <w:style w:type="character" w:customStyle="1" w:styleId="WW8Num4z1">
    <w:name w:val="WW8Num4z1"/>
    <w:rsid w:val="0085381B"/>
    <w:rPr>
      <w:rFonts w:ascii="Symbol" w:hAnsi="Symbol" w:cs="Symbol"/>
    </w:rPr>
  </w:style>
  <w:style w:type="character" w:customStyle="1" w:styleId="WW8Num4z2">
    <w:name w:val="WW8Num4z2"/>
    <w:rsid w:val="0085381B"/>
  </w:style>
  <w:style w:type="character" w:customStyle="1" w:styleId="WW8Num4z3">
    <w:name w:val="WW8Num4z3"/>
    <w:rsid w:val="0085381B"/>
  </w:style>
  <w:style w:type="character" w:customStyle="1" w:styleId="WW8Num4z4">
    <w:name w:val="WW8Num4z4"/>
    <w:rsid w:val="0085381B"/>
  </w:style>
  <w:style w:type="character" w:customStyle="1" w:styleId="WW8Num4z5">
    <w:name w:val="WW8Num4z5"/>
    <w:rsid w:val="0085381B"/>
  </w:style>
  <w:style w:type="character" w:customStyle="1" w:styleId="WW8Num4z6">
    <w:name w:val="WW8Num4z6"/>
    <w:rsid w:val="0085381B"/>
  </w:style>
  <w:style w:type="character" w:customStyle="1" w:styleId="WW8Num4z7">
    <w:name w:val="WW8Num4z7"/>
    <w:rsid w:val="0085381B"/>
  </w:style>
  <w:style w:type="character" w:customStyle="1" w:styleId="WW8Num4z8">
    <w:name w:val="WW8Num4z8"/>
    <w:rsid w:val="0085381B"/>
  </w:style>
  <w:style w:type="character" w:customStyle="1" w:styleId="WW8Num5z0">
    <w:name w:val="WW8Num5z0"/>
    <w:rsid w:val="0085381B"/>
  </w:style>
  <w:style w:type="character" w:customStyle="1" w:styleId="WW8Num5z1">
    <w:name w:val="WW8Num5z1"/>
    <w:rsid w:val="0085381B"/>
    <w:rPr>
      <w:rFonts w:ascii="Symbol" w:hAnsi="Symbol" w:cs="Symbol"/>
    </w:rPr>
  </w:style>
  <w:style w:type="character" w:customStyle="1" w:styleId="WW8Num5z2">
    <w:name w:val="WW8Num5z2"/>
    <w:rsid w:val="0085381B"/>
  </w:style>
  <w:style w:type="character" w:customStyle="1" w:styleId="WW8Num5z3">
    <w:name w:val="WW8Num5z3"/>
    <w:rsid w:val="0085381B"/>
  </w:style>
  <w:style w:type="character" w:customStyle="1" w:styleId="WW8Num5z4">
    <w:name w:val="WW8Num5z4"/>
    <w:rsid w:val="0085381B"/>
  </w:style>
  <w:style w:type="character" w:customStyle="1" w:styleId="WW8Num5z5">
    <w:name w:val="WW8Num5z5"/>
    <w:rsid w:val="0085381B"/>
  </w:style>
  <w:style w:type="character" w:customStyle="1" w:styleId="WW8Num5z6">
    <w:name w:val="WW8Num5z6"/>
    <w:rsid w:val="0085381B"/>
  </w:style>
  <w:style w:type="character" w:customStyle="1" w:styleId="WW8Num5z7">
    <w:name w:val="WW8Num5z7"/>
    <w:rsid w:val="0085381B"/>
  </w:style>
  <w:style w:type="character" w:customStyle="1" w:styleId="WW8Num5z8">
    <w:name w:val="WW8Num5z8"/>
    <w:rsid w:val="0085381B"/>
  </w:style>
  <w:style w:type="character" w:customStyle="1" w:styleId="WW8Num6z0">
    <w:name w:val="WW8Num6z0"/>
    <w:rsid w:val="0085381B"/>
  </w:style>
  <w:style w:type="character" w:customStyle="1" w:styleId="WW8Num7z0">
    <w:name w:val="WW8Num7z0"/>
    <w:rsid w:val="0085381B"/>
  </w:style>
  <w:style w:type="character" w:customStyle="1" w:styleId="WW8Num8z0">
    <w:name w:val="WW8Num8z0"/>
    <w:rsid w:val="0085381B"/>
  </w:style>
  <w:style w:type="character" w:customStyle="1" w:styleId="WW8Num8z1">
    <w:name w:val="WW8Num8z1"/>
    <w:rsid w:val="0085381B"/>
  </w:style>
  <w:style w:type="character" w:customStyle="1" w:styleId="WW8Num8z2">
    <w:name w:val="WW8Num8z2"/>
    <w:rsid w:val="0085381B"/>
  </w:style>
  <w:style w:type="character" w:customStyle="1" w:styleId="WW8Num8z3">
    <w:name w:val="WW8Num8z3"/>
    <w:rsid w:val="0085381B"/>
  </w:style>
  <w:style w:type="character" w:customStyle="1" w:styleId="WW8Num8z4">
    <w:name w:val="WW8Num8z4"/>
    <w:rsid w:val="0085381B"/>
  </w:style>
  <w:style w:type="character" w:customStyle="1" w:styleId="WW8Num8z5">
    <w:name w:val="WW8Num8z5"/>
    <w:rsid w:val="0085381B"/>
  </w:style>
  <w:style w:type="character" w:customStyle="1" w:styleId="WW8Num8z6">
    <w:name w:val="WW8Num8z6"/>
    <w:rsid w:val="0085381B"/>
  </w:style>
  <w:style w:type="character" w:customStyle="1" w:styleId="WW8Num8z7">
    <w:name w:val="WW8Num8z7"/>
    <w:rsid w:val="0085381B"/>
  </w:style>
  <w:style w:type="character" w:customStyle="1" w:styleId="WW8Num8z8">
    <w:name w:val="WW8Num8z8"/>
    <w:rsid w:val="0085381B"/>
  </w:style>
  <w:style w:type="character" w:customStyle="1" w:styleId="WW8Num9z0">
    <w:name w:val="WW8Num9z0"/>
    <w:rsid w:val="0085381B"/>
  </w:style>
  <w:style w:type="character" w:customStyle="1" w:styleId="WW8Num10z0">
    <w:name w:val="WW8Num10z0"/>
    <w:rsid w:val="0085381B"/>
  </w:style>
  <w:style w:type="character" w:customStyle="1" w:styleId="Policepardfaut1">
    <w:name w:val="Police par défaut1"/>
    <w:rsid w:val="0085381B"/>
  </w:style>
  <w:style w:type="character" w:styleId="Nmerodepgina">
    <w:name w:val="page number"/>
    <w:basedOn w:val="Policepardfaut1"/>
    <w:rsid w:val="0085381B"/>
  </w:style>
  <w:style w:type="character" w:styleId="Hipervnculo">
    <w:name w:val="Hyperlink"/>
    <w:uiPriority w:val="99"/>
    <w:rsid w:val="0085381B"/>
    <w:rPr>
      <w:color w:val="0000FF"/>
      <w:u w:val="single"/>
    </w:rPr>
  </w:style>
  <w:style w:type="character" w:customStyle="1" w:styleId="TextedebullesCar">
    <w:name w:val="Texte de bulles Car"/>
    <w:rsid w:val="0085381B"/>
    <w:rPr>
      <w:rFonts w:ascii="Tahoma" w:hAnsi="Tahoma" w:cs="Tahoma"/>
      <w:sz w:val="16"/>
      <w:szCs w:val="16"/>
      <w:lang w:val="en-GB"/>
    </w:rPr>
  </w:style>
  <w:style w:type="character" w:customStyle="1" w:styleId="PieddepageCar">
    <w:name w:val="Pied de page Car"/>
    <w:rsid w:val="0085381B"/>
    <w:rPr>
      <w:sz w:val="19"/>
      <w:szCs w:val="24"/>
      <w:lang w:val="en-GB"/>
    </w:rPr>
  </w:style>
  <w:style w:type="character" w:customStyle="1" w:styleId="ListLabel1">
    <w:name w:val="ListLabel 1"/>
    <w:rsid w:val="0085381B"/>
    <w:rPr>
      <w:rFonts w:cs="Symbol"/>
    </w:rPr>
  </w:style>
  <w:style w:type="paragraph" w:customStyle="1" w:styleId="Heading">
    <w:name w:val="Heading"/>
    <w:basedOn w:val="Normal"/>
    <w:next w:val="Textoindependiente"/>
    <w:rsid w:val="0085381B"/>
    <w:pPr>
      <w:spacing w:after="360"/>
      <w:jc w:val="center"/>
    </w:pPr>
    <w:rPr>
      <w:b/>
      <w:sz w:val="36"/>
      <w:szCs w:val="32"/>
    </w:rPr>
  </w:style>
  <w:style w:type="paragraph" w:styleId="Textoindependiente">
    <w:name w:val="Body Text"/>
    <w:basedOn w:val="Normal"/>
    <w:link w:val="TextoindependienteCar"/>
    <w:uiPriority w:val="1"/>
    <w:qFormat/>
    <w:rsid w:val="0085381B"/>
    <w:pPr>
      <w:spacing w:before="0" w:after="140" w:line="288" w:lineRule="auto"/>
    </w:pPr>
  </w:style>
  <w:style w:type="paragraph" w:styleId="Lista">
    <w:name w:val="List"/>
    <w:basedOn w:val="Textoindependiente"/>
    <w:rsid w:val="0085381B"/>
  </w:style>
  <w:style w:type="paragraph" w:styleId="Descripcin">
    <w:name w:val="caption"/>
    <w:basedOn w:val="Normal"/>
    <w:qFormat/>
    <w:rsid w:val="0085381B"/>
    <w:pPr>
      <w:suppressLineNumbers/>
    </w:pPr>
    <w:rPr>
      <w:i/>
      <w:iCs/>
      <w:sz w:val="24"/>
    </w:rPr>
  </w:style>
  <w:style w:type="paragraph" w:customStyle="1" w:styleId="Index">
    <w:name w:val="Index"/>
    <w:basedOn w:val="Normal"/>
    <w:rsid w:val="0085381B"/>
    <w:pPr>
      <w:suppressLineNumbers/>
    </w:pPr>
  </w:style>
  <w:style w:type="paragraph" w:styleId="Encabezado">
    <w:name w:val="header"/>
    <w:basedOn w:val="Normal"/>
    <w:rsid w:val="0085381B"/>
  </w:style>
  <w:style w:type="paragraph" w:styleId="Piedepgina">
    <w:name w:val="footer"/>
    <w:basedOn w:val="Normal"/>
    <w:rsid w:val="0085381B"/>
    <w:pPr>
      <w:pBdr>
        <w:top w:val="single" w:sz="4" w:space="1" w:color="000001"/>
        <w:left w:val="none" w:sz="0" w:space="0" w:color="000000"/>
        <w:bottom w:val="none" w:sz="0" w:space="0" w:color="000000"/>
        <w:right w:val="none" w:sz="0" w:space="0" w:color="000000"/>
      </w:pBdr>
    </w:pPr>
    <w:rPr>
      <w:sz w:val="19"/>
    </w:rPr>
  </w:style>
  <w:style w:type="paragraph" w:customStyle="1" w:styleId="EVSsubsection">
    <w:name w:val="EVS_subsection"/>
    <w:basedOn w:val="Normal"/>
    <w:rsid w:val="0085381B"/>
  </w:style>
  <w:style w:type="paragraph" w:customStyle="1" w:styleId="abstract">
    <w:name w:val="abstract"/>
    <w:basedOn w:val="Normal"/>
    <w:rsid w:val="0085381B"/>
    <w:pPr>
      <w:spacing w:line="360" w:lineRule="auto"/>
    </w:pPr>
  </w:style>
  <w:style w:type="paragraph" w:customStyle="1" w:styleId="keywords">
    <w:name w:val="keywords"/>
    <w:basedOn w:val="Normal"/>
    <w:rsid w:val="0085381B"/>
    <w:pPr>
      <w:pBdr>
        <w:top w:val="none" w:sz="0" w:space="0" w:color="000000"/>
        <w:left w:val="none" w:sz="0" w:space="0" w:color="000000"/>
        <w:bottom w:val="single" w:sz="8" w:space="1" w:color="000001"/>
        <w:right w:val="none" w:sz="0" w:space="0" w:color="000000"/>
      </w:pBdr>
      <w:spacing w:before="240" w:after="360"/>
    </w:pPr>
    <w:rPr>
      <w:i/>
      <w:sz w:val="19"/>
    </w:rPr>
  </w:style>
  <w:style w:type="paragraph" w:customStyle="1" w:styleId="abstractitle">
    <w:name w:val="abstractitle"/>
    <w:basedOn w:val="Normal"/>
    <w:rsid w:val="0085381B"/>
    <w:pPr>
      <w:pBdr>
        <w:top w:val="single" w:sz="8" w:space="1" w:color="000001"/>
        <w:left w:val="none" w:sz="0" w:space="0" w:color="000000"/>
        <w:bottom w:val="none" w:sz="0" w:space="0" w:color="000000"/>
        <w:right w:val="none" w:sz="0" w:space="0" w:color="000000"/>
      </w:pBdr>
      <w:spacing w:before="480"/>
    </w:pPr>
    <w:rPr>
      <w:b/>
      <w:sz w:val="24"/>
    </w:rPr>
  </w:style>
  <w:style w:type="paragraph" w:customStyle="1" w:styleId="author">
    <w:name w:val="author"/>
    <w:basedOn w:val="Normal"/>
    <w:rsid w:val="0085381B"/>
    <w:pPr>
      <w:jc w:val="center"/>
    </w:pPr>
    <w:rPr>
      <w:sz w:val="24"/>
    </w:rPr>
  </w:style>
  <w:style w:type="paragraph" w:customStyle="1" w:styleId="affiliation">
    <w:name w:val="affiliation"/>
    <w:basedOn w:val="Normal"/>
    <w:rsid w:val="0085381B"/>
    <w:pPr>
      <w:jc w:val="center"/>
    </w:pPr>
    <w:rPr>
      <w:i/>
      <w:sz w:val="19"/>
    </w:rPr>
  </w:style>
  <w:style w:type="paragraph" w:customStyle="1" w:styleId="Lgende1">
    <w:name w:val="Légende1"/>
    <w:basedOn w:val="Normal"/>
    <w:next w:val="Normal"/>
    <w:link w:val="Lgende1Car"/>
    <w:rsid w:val="0085381B"/>
    <w:pPr>
      <w:jc w:val="center"/>
    </w:pPr>
    <w:rPr>
      <w:sz w:val="19"/>
    </w:rPr>
  </w:style>
  <w:style w:type="paragraph" w:customStyle="1" w:styleId="Heading1NoNum">
    <w:name w:val="Heading1NoNum"/>
    <w:basedOn w:val="Ttulo1"/>
    <w:rsid w:val="0085381B"/>
    <w:pPr>
      <w:ind w:firstLine="0"/>
    </w:pPr>
  </w:style>
  <w:style w:type="paragraph" w:customStyle="1" w:styleId="References">
    <w:name w:val="References"/>
    <w:basedOn w:val="Normal"/>
    <w:link w:val="ReferencesCar"/>
    <w:rsid w:val="0085381B"/>
    <w:pPr>
      <w:ind w:left="794" w:hanging="567"/>
    </w:pPr>
    <w:rPr>
      <w:sz w:val="19"/>
    </w:rPr>
  </w:style>
  <w:style w:type="paragraph" w:customStyle="1" w:styleId="bio">
    <w:name w:val="bio"/>
    <w:basedOn w:val="Normal"/>
    <w:rsid w:val="0085381B"/>
    <w:rPr>
      <w:sz w:val="19"/>
    </w:rPr>
  </w:style>
  <w:style w:type="paragraph" w:customStyle="1" w:styleId="pretitle">
    <w:name w:val="pretitle"/>
    <w:basedOn w:val="Normal"/>
    <w:rsid w:val="0085381B"/>
    <w:pPr>
      <w:spacing w:before="240" w:after="360"/>
      <w:jc w:val="center"/>
    </w:pPr>
    <w:rPr>
      <w:i/>
      <w:sz w:val="32"/>
    </w:rPr>
  </w:style>
  <w:style w:type="paragraph" w:customStyle="1" w:styleId="EVSbullet">
    <w:name w:val="EVS_bullet"/>
    <w:basedOn w:val="Normal"/>
    <w:rsid w:val="0085381B"/>
  </w:style>
  <w:style w:type="paragraph" w:customStyle="1" w:styleId="Textedebulles1">
    <w:name w:val="Texte de bulles1"/>
    <w:basedOn w:val="Normal"/>
    <w:rsid w:val="0085381B"/>
    <w:rPr>
      <w:rFonts w:ascii="Tahoma" w:hAnsi="Tahoma" w:cs="Tahoma"/>
      <w:sz w:val="16"/>
      <w:szCs w:val="16"/>
    </w:rPr>
  </w:style>
  <w:style w:type="paragraph" w:customStyle="1" w:styleId="TableContents">
    <w:name w:val="Table Contents"/>
    <w:basedOn w:val="Normal"/>
    <w:rsid w:val="0085381B"/>
    <w:pPr>
      <w:suppressLineNumbers/>
    </w:pPr>
  </w:style>
  <w:style w:type="paragraph" w:customStyle="1" w:styleId="TableHeading">
    <w:name w:val="Table Heading"/>
    <w:basedOn w:val="TableContents"/>
    <w:rsid w:val="0085381B"/>
    <w:pPr>
      <w:jc w:val="center"/>
    </w:pPr>
    <w:rPr>
      <w:b/>
      <w:bCs/>
    </w:rPr>
  </w:style>
  <w:style w:type="paragraph" w:styleId="Textodeglobo">
    <w:name w:val="Balloon Text"/>
    <w:basedOn w:val="Normal"/>
    <w:link w:val="TextodegloboCar"/>
    <w:uiPriority w:val="99"/>
    <w:semiHidden/>
    <w:unhideWhenUsed/>
    <w:rsid w:val="00FC5FFA"/>
    <w:pPr>
      <w:spacing w:before="0"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C5FFA"/>
    <w:rPr>
      <w:rFonts w:ascii="Tahoma" w:hAnsi="Tahoma" w:cs="Tahoma"/>
      <w:color w:val="00000A"/>
      <w:kern w:val="1"/>
      <w:sz w:val="16"/>
      <w:szCs w:val="16"/>
      <w:lang w:val="en-GB" w:eastAsia="zh-CN"/>
    </w:rPr>
  </w:style>
  <w:style w:type="paragraph" w:styleId="Mapadeldocumento">
    <w:name w:val="Document Map"/>
    <w:basedOn w:val="Normal"/>
    <w:link w:val="MapadeldocumentoCar"/>
    <w:uiPriority w:val="99"/>
    <w:semiHidden/>
    <w:unhideWhenUsed/>
    <w:rsid w:val="00A749F5"/>
    <w:pPr>
      <w:spacing w:before="0" w:after="0"/>
    </w:pPr>
    <w:rPr>
      <w:sz w:val="24"/>
    </w:rPr>
  </w:style>
  <w:style w:type="character" w:customStyle="1" w:styleId="MapadeldocumentoCar">
    <w:name w:val="Mapa del documento Car"/>
    <w:basedOn w:val="Fuentedeprrafopredeter"/>
    <w:link w:val="Mapadeldocumento"/>
    <w:uiPriority w:val="99"/>
    <w:semiHidden/>
    <w:rsid w:val="00A749F5"/>
    <w:rPr>
      <w:color w:val="00000A"/>
      <w:kern w:val="1"/>
      <w:sz w:val="24"/>
      <w:szCs w:val="24"/>
      <w:lang w:val="en-GB" w:eastAsia="zh-CN"/>
    </w:rPr>
  </w:style>
  <w:style w:type="character" w:styleId="Textodelmarcadordeposicin">
    <w:name w:val="Placeholder Text"/>
    <w:basedOn w:val="Fuentedeprrafopredeter"/>
    <w:uiPriority w:val="99"/>
    <w:semiHidden/>
    <w:rsid w:val="00126FF9"/>
    <w:rPr>
      <w:color w:val="808080"/>
    </w:rPr>
  </w:style>
  <w:style w:type="paragraph" w:styleId="Ttulo">
    <w:name w:val="Title"/>
    <w:basedOn w:val="Normal"/>
    <w:next w:val="Normal"/>
    <w:link w:val="TtuloCar"/>
    <w:uiPriority w:val="10"/>
    <w:qFormat/>
    <w:rsid w:val="002E6758"/>
    <w:pPr>
      <w:spacing w:before="0" w:after="0"/>
      <w:contextualSpacing/>
    </w:pPr>
    <w:rPr>
      <w:rFonts w:asciiTheme="majorHAnsi" w:eastAsiaTheme="majorEastAsia" w:hAnsiTheme="majorHAnsi" w:cstheme="majorBidi"/>
      <w:color w:val="auto"/>
      <w:spacing w:val="-10"/>
      <w:kern w:val="28"/>
      <w:sz w:val="56"/>
      <w:szCs w:val="56"/>
    </w:rPr>
  </w:style>
  <w:style w:type="character" w:customStyle="1" w:styleId="TtuloCar">
    <w:name w:val="Título Car"/>
    <w:basedOn w:val="Fuentedeprrafopredeter"/>
    <w:link w:val="Ttulo"/>
    <w:uiPriority w:val="10"/>
    <w:rsid w:val="002E6758"/>
    <w:rPr>
      <w:rFonts w:asciiTheme="majorHAnsi" w:eastAsiaTheme="majorEastAsia" w:hAnsiTheme="majorHAnsi" w:cstheme="majorBidi"/>
      <w:spacing w:val="-10"/>
      <w:kern w:val="28"/>
      <w:sz w:val="56"/>
      <w:szCs w:val="56"/>
      <w:lang w:val="en-GB" w:eastAsia="zh-CN"/>
    </w:rPr>
  </w:style>
  <w:style w:type="character" w:styleId="Mencinsinresolver">
    <w:name w:val="Unresolved Mention"/>
    <w:basedOn w:val="Fuentedeprrafopredeter"/>
    <w:uiPriority w:val="99"/>
    <w:semiHidden/>
    <w:unhideWhenUsed/>
    <w:rsid w:val="002E6758"/>
    <w:rPr>
      <w:color w:val="605E5C"/>
      <w:shd w:val="clear" w:color="auto" w:fill="E1DFDD"/>
    </w:rPr>
  </w:style>
  <w:style w:type="character" w:customStyle="1" w:styleId="TextoindependienteCar">
    <w:name w:val="Texto independiente Car"/>
    <w:basedOn w:val="Fuentedeprrafopredeter"/>
    <w:link w:val="Textoindependiente"/>
    <w:uiPriority w:val="1"/>
    <w:rsid w:val="00BC34E7"/>
    <w:rPr>
      <w:color w:val="00000A"/>
      <w:kern w:val="1"/>
      <w:sz w:val="21"/>
      <w:szCs w:val="24"/>
      <w:lang w:val="en-GB" w:eastAsia="zh-CN"/>
    </w:rPr>
  </w:style>
  <w:style w:type="paragraph" w:styleId="Prrafodelista">
    <w:name w:val="List Paragraph"/>
    <w:basedOn w:val="Normal"/>
    <w:uiPriority w:val="34"/>
    <w:qFormat/>
    <w:rsid w:val="00BC34E7"/>
    <w:pPr>
      <w:spacing w:after="280"/>
      <w:contextualSpacing/>
    </w:pPr>
  </w:style>
  <w:style w:type="paragraph" w:customStyle="1" w:styleId="Testua">
    <w:name w:val="Testua"/>
    <w:basedOn w:val="Normal"/>
    <w:link w:val="TestuaCar"/>
    <w:qFormat/>
    <w:rsid w:val="00BC34E7"/>
  </w:style>
  <w:style w:type="paragraph" w:customStyle="1" w:styleId="TableParagraph">
    <w:name w:val="Table Paragraph"/>
    <w:basedOn w:val="Normal"/>
    <w:link w:val="TableParagraphCar"/>
    <w:uiPriority w:val="1"/>
    <w:qFormat/>
    <w:rsid w:val="00EB4B02"/>
    <w:pPr>
      <w:widowControl w:val="0"/>
      <w:suppressAutoHyphens w:val="0"/>
      <w:autoSpaceDE w:val="0"/>
      <w:autoSpaceDN w:val="0"/>
      <w:spacing w:before="1" w:after="0" w:line="211" w:lineRule="exact"/>
      <w:ind w:left="98" w:right="97"/>
      <w:jc w:val="center"/>
    </w:pPr>
    <w:rPr>
      <w:rFonts w:eastAsia="Times New Roman"/>
      <w:color w:val="auto"/>
      <w:kern w:val="0"/>
      <w:sz w:val="20"/>
      <w:szCs w:val="22"/>
      <w:lang w:val="en-US" w:eastAsia="en-US"/>
    </w:rPr>
  </w:style>
  <w:style w:type="character" w:customStyle="1" w:styleId="TestuaCar">
    <w:name w:val="Testua Car"/>
    <w:basedOn w:val="Fuentedeprrafopredeter"/>
    <w:link w:val="Testua"/>
    <w:rsid w:val="00BC34E7"/>
    <w:rPr>
      <w:color w:val="00000A"/>
      <w:kern w:val="1"/>
      <w:sz w:val="21"/>
      <w:szCs w:val="24"/>
      <w:lang w:val="en-GB" w:eastAsia="zh-CN"/>
    </w:rPr>
  </w:style>
  <w:style w:type="paragraph" w:customStyle="1" w:styleId="Tables">
    <w:name w:val="Tables"/>
    <w:basedOn w:val="TableParagraph"/>
    <w:link w:val="TablesCar"/>
    <w:qFormat/>
    <w:rsid w:val="00EB4B02"/>
  </w:style>
  <w:style w:type="paragraph" w:customStyle="1" w:styleId="Tablesdescription">
    <w:name w:val="Tables description"/>
    <w:basedOn w:val="Lgende1"/>
    <w:link w:val="TablesdescriptionCar"/>
    <w:qFormat/>
    <w:rsid w:val="00EB4B02"/>
  </w:style>
  <w:style w:type="character" w:customStyle="1" w:styleId="TableParagraphCar">
    <w:name w:val="Table Paragraph Car"/>
    <w:basedOn w:val="Fuentedeprrafopredeter"/>
    <w:link w:val="TableParagraph"/>
    <w:uiPriority w:val="1"/>
    <w:rsid w:val="00EB4B02"/>
    <w:rPr>
      <w:rFonts w:eastAsia="Times New Roman"/>
      <w:szCs w:val="22"/>
      <w:lang w:val="en-US" w:eastAsia="en-US"/>
    </w:rPr>
  </w:style>
  <w:style w:type="character" w:customStyle="1" w:styleId="TablesCar">
    <w:name w:val="Tables Car"/>
    <w:basedOn w:val="TableParagraphCar"/>
    <w:link w:val="Tables"/>
    <w:rsid w:val="00EB4B02"/>
    <w:rPr>
      <w:rFonts w:eastAsia="Times New Roman"/>
      <w:szCs w:val="22"/>
      <w:lang w:val="en-US" w:eastAsia="en-US"/>
    </w:rPr>
  </w:style>
  <w:style w:type="paragraph" w:customStyle="1" w:styleId="Figures">
    <w:name w:val="Figures"/>
    <w:basedOn w:val="Testua"/>
    <w:link w:val="FiguresCar"/>
    <w:qFormat/>
    <w:rsid w:val="00EB4B02"/>
    <w:pPr>
      <w:jc w:val="center"/>
    </w:pPr>
    <w:rPr>
      <w:noProof/>
    </w:rPr>
  </w:style>
  <w:style w:type="character" w:customStyle="1" w:styleId="TablesdescriptionCar">
    <w:name w:val="Tables description Car"/>
    <w:basedOn w:val="Fuentedeprrafopredeter"/>
    <w:link w:val="Tablesdescription"/>
    <w:rsid w:val="00EB4B02"/>
    <w:rPr>
      <w:color w:val="00000A"/>
      <w:kern w:val="1"/>
      <w:sz w:val="19"/>
      <w:szCs w:val="24"/>
      <w:lang w:val="en-GB" w:eastAsia="zh-CN"/>
    </w:rPr>
  </w:style>
  <w:style w:type="paragraph" w:customStyle="1" w:styleId="Figuresdescription">
    <w:name w:val="Figures description"/>
    <w:basedOn w:val="Lgende1"/>
    <w:link w:val="FiguresdescriptionCar"/>
    <w:qFormat/>
    <w:rsid w:val="00EB4B02"/>
  </w:style>
  <w:style w:type="character" w:customStyle="1" w:styleId="FiguresCar">
    <w:name w:val="Figures Car"/>
    <w:basedOn w:val="TestuaCar"/>
    <w:link w:val="Figures"/>
    <w:rsid w:val="00EB4B02"/>
    <w:rPr>
      <w:noProof/>
      <w:color w:val="00000A"/>
      <w:kern w:val="1"/>
      <w:sz w:val="21"/>
      <w:szCs w:val="24"/>
      <w:lang w:val="en-GB" w:eastAsia="zh-CN"/>
    </w:rPr>
  </w:style>
  <w:style w:type="table" w:styleId="Tablaconcuadrcula">
    <w:name w:val="Table Grid"/>
    <w:basedOn w:val="Tablanormal"/>
    <w:uiPriority w:val="39"/>
    <w:rsid w:val="00EB4B02"/>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gende1Car">
    <w:name w:val="Légende1 Car"/>
    <w:basedOn w:val="Fuentedeprrafopredeter"/>
    <w:link w:val="Lgende1"/>
    <w:rsid w:val="00EB4B02"/>
    <w:rPr>
      <w:color w:val="00000A"/>
      <w:kern w:val="1"/>
      <w:sz w:val="19"/>
      <w:szCs w:val="24"/>
      <w:lang w:val="en-GB" w:eastAsia="zh-CN"/>
    </w:rPr>
  </w:style>
  <w:style w:type="character" w:customStyle="1" w:styleId="FiguresdescriptionCar">
    <w:name w:val="Figures description Car"/>
    <w:basedOn w:val="Lgende1Car"/>
    <w:link w:val="Figuresdescription"/>
    <w:rsid w:val="00EB4B02"/>
    <w:rPr>
      <w:color w:val="00000A"/>
      <w:kern w:val="1"/>
      <w:sz w:val="19"/>
      <w:szCs w:val="24"/>
      <w:lang w:val="en-GB" w:eastAsia="zh-CN"/>
    </w:rPr>
  </w:style>
  <w:style w:type="paragraph" w:customStyle="1" w:styleId="Ekuaziokn">
    <w:name w:val="Ekuaziok n"/>
    <w:basedOn w:val="Normal"/>
    <w:qFormat/>
    <w:rsid w:val="00EB4B02"/>
    <w:pPr>
      <w:suppressAutoHyphens w:val="0"/>
      <w:spacing w:before="1" w:after="0"/>
      <w:ind w:left="1316" w:right="1403"/>
      <w:jc w:val="right"/>
    </w:pPr>
    <w:rPr>
      <w:rFonts w:ascii="LM Roman 10" w:eastAsiaTheme="minorHAnsi" w:hAnsi="LM Roman 10" w:cstheme="minorBidi"/>
      <w:color w:val="auto"/>
      <w:kern w:val="0"/>
      <w:sz w:val="20"/>
      <w:szCs w:val="22"/>
      <w:lang w:eastAsia="en-US"/>
    </w:rPr>
  </w:style>
  <w:style w:type="paragraph" w:customStyle="1" w:styleId="Ekuaziok">
    <w:name w:val="Ekuaziok"/>
    <w:basedOn w:val="Normal"/>
    <w:qFormat/>
    <w:rsid w:val="00EB4B02"/>
    <w:pPr>
      <w:suppressAutoHyphens w:val="0"/>
      <w:spacing w:before="1"/>
      <w:ind w:left="1316" w:right="1403"/>
    </w:pPr>
    <w:rPr>
      <w:rFonts w:ascii="Cambria Math" w:eastAsiaTheme="minorHAnsi" w:hAnsi="Cambria Math" w:cstheme="minorBidi"/>
      <w:color w:val="auto"/>
      <w:kern w:val="0"/>
      <w:sz w:val="20"/>
      <w:szCs w:val="22"/>
      <w:lang w:eastAsia="en-US"/>
    </w:rPr>
  </w:style>
  <w:style w:type="character" w:styleId="Refdecomentario">
    <w:name w:val="annotation reference"/>
    <w:basedOn w:val="Fuentedeprrafopredeter"/>
    <w:uiPriority w:val="99"/>
    <w:semiHidden/>
    <w:unhideWhenUsed/>
    <w:rsid w:val="00FA4293"/>
    <w:rPr>
      <w:sz w:val="16"/>
      <w:szCs w:val="16"/>
    </w:rPr>
  </w:style>
  <w:style w:type="paragraph" w:styleId="Textocomentario">
    <w:name w:val="annotation text"/>
    <w:basedOn w:val="Normal"/>
    <w:link w:val="TextocomentarioCar"/>
    <w:uiPriority w:val="99"/>
    <w:unhideWhenUsed/>
    <w:rsid w:val="00FA4293"/>
    <w:pPr>
      <w:widowControl w:val="0"/>
      <w:suppressAutoHyphens w:val="0"/>
      <w:autoSpaceDE w:val="0"/>
      <w:autoSpaceDN w:val="0"/>
      <w:spacing w:before="1" w:after="0"/>
      <w:ind w:left="1316" w:right="1403"/>
      <w:jc w:val="center"/>
    </w:pPr>
    <w:rPr>
      <w:rFonts w:eastAsia="Times New Roman"/>
      <w:color w:val="auto"/>
      <w:kern w:val="0"/>
      <w:sz w:val="20"/>
      <w:szCs w:val="20"/>
      <w:lang w:val="en-US" w:eastAsia="en-US"/>
    </w:rPr>
  </w:style>
  <w:style w:type="character" w:customStyle="1" w:styleId="TextocomentarioCar">
    <w:name w:val="Texto comentario Car"/>
    <w:basedOn w:val="Fuentedeprrafopredeter"/>
    <w:link w:val="Textocomentario"/>
    <w:uiPriority w:val="99"/>
    <w:rsid w:val="00FA4293"/>
    <w:rPr>
      <w:rFonts w:eastAsia="Times New Roman"/>
      <w:lang w:val="en-US" w:eastAsia="en-US"/>
    </w:rPr>
  </w:style>
  <w:style w:type="paragraph" w:customStyle="1" w:styleId="Bibliografia">
    <w:name w:val="Bibliografia"/>
    <w:basedOn w:val="References"/>
    <w:link w:val="BibliografiaCar"/>
    <w:qFormat/>
    <w:rsid w:val="004E2711"/>
  </w:style>
  <w:style w:type="character" w:customStyle="1" w:styleId="ReferencesCar">
    <w:name w:val="References Car"/>
    <w:basedOn w:val="Fuentedeprrafopredeter"/>
    <w:link w:val="References"/>
    <w:rsid w:val="004E2711"/>
    <w:rPr>
      <w:color w:val="00000A"/>
      <w:kern w:val="1"/>
      <w:sz w:val="19"/>
      <w:szCs w:val="24"/>
      <w:lang w:val="en-GB" w:eastAsia="zh-CN"/>
    </w:rPr>
  </w:style>
  <w:style w:type="character" w:customStyle="1" w:styleId="BibliografiaCar">
    <w:name w:val="Bibliografia Car"/>
    <w:basedOn w:val="ReferencesCar"/>
    <w:link w:val="Bibliografia"/>
    <w:rsid w:val="004E2711"/>
    <w:rPr>
      <w:color w:val="00000A"/>
      <w:kern w:val="1"/>
      <w:sz w:val="19"/>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lizaso@ikerlan.es" TargetMode="External"/><Relationship Id="rId13" Type="http://schemas.openxmlformats.org/officeDocument/2006/relationships/image" Target="media/image5.svg"/><Relationship Id="rId18" Type="http://schemas.openxmlformats.org/officeDocument/2006/relationships/image" Target="media/image10.sv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tiff"/><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8.svg"/><Relationship Id="rId20" Type="http://schemas.openxmlformats.org/officeDocument/2006/relationships/image" Target="media/image12.pn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svg"/><Relationship Id="rId24" Type="http://schemas.openxmlformats.org/officeDocument/2006/relationships/image" Target="media/image16.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svg"/><Relationship Id="rId28"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tiff"/><Relationship Id="rId22" Type="http://schemas.openxmlformats.org/officeDocument/2006/relationships/image" Target="media/image14.png"/><Relationship Id="rId27" Type="http://schemas.openxmlformats.org/officeDocument/2006/relationships/header" Target="header1.xml"/><Relationship Id="rId30"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lizaso\OneDrive%20-%20IKERLAN%20S.COOP\1.%20TESIA\%5bDOK%5d%20Papers\2022%20EVS\EVS2022_FinalPaper_OlatzLizaso_V0.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DD86D6-3B51-430C-848F-E7AE5DCF0F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EVS2022_FinalPaper_OlatzLizaso_V0</Template>
  <TotalTime>933</TotalTime>
  <Pages>13</Pages>
  <Words>7814</Words>
  <Characters>44540</Characters>
  <Application>Microsoft Office Word</Application>
  <DocSecurity>0</DocSecurity>
  <Lines>371</Lines>
  <Paragraphs>104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EVS34</vt:lpstr>
      <vt:lpstr>EVS24</vt:lpstr>
    </vt:vector>
  </TitlesOfParts>
  <Company>CES</Company>
  <LinksUpToDate>false</LinksUpToDate>
  <CharactersWithSpaces>52250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EVS34</dc:title>
  <dc:creator>Lizaso Olatz</dc:creator>
  <cp:lastModifiedBy>Lizaso Olatz</cp:lastModifiedBy>
  <cp:revision>1</cp:revision>
  <cp:lastPrinted>2018-12-14T09:31:00Z</cp:lastPrinted>
  <dcterms:created xsi:type="dcterms:W3CDTF">2022-04-25T11:12:00Z</dcterms:created>
  <dcterms:modified xsi:type="dcterms:W3CDTF">2022-04-26T05:46:00Z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860ba24e-a2b5-3b06-a9ca-370fb0f1131f</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